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numId w:val="0"/>
        </w:numPr>
        <w:rPr>
          <w:rFonts w:hint="eastAsia" w:ascii="仿宋" w:hAnsi="仿宋" w:eastAsia="仿宋" w:cs="Arial"/>
          <w:color w:val="000000"/>
          <w:sz w:val="32"/>
          <w:szCs w:val="32"/>
          <w:lang w:eastAsia="zh-CN"/>
        </w:rPr>
      </w:pPr>
      <w:r>
        <w:rPr>
          <w:rFonts w:hint="eastAsia" w:ascii="仿宋" w:hAnsi="仿宋" w:eastAsia="仿宋" w:cs="Arial"/>
          <w:color w:val="000000"/>
          <w:sz w:val="32"/>
          <w:szCs w:val="32"/>
          <w:lang w:eastAsia="zh-CN"/>
        </w:rPr>
        <w:t>附件：</w:t>
      </w:r>
    </w:p>
    <w:p>
      <w:pPr>
        <w:widowControl/>
        <w:jc w:val="center"/>
        <w:rPr>
          <w:rFonts w:ascii="宋体" w:hAnsi="宋体" w:cs="Arial"/>
          <w:b/>
          <w:bCs/>
          <w:color w:val="000000"/>
          <w:sz w:val="44"/>
          <w:szCs w:val="44"/>
        </w:rPr>
      </w:pPr>
      <w:r>
        <w:rPr>
          <w:rFonts w:hint="eastAsia" w:ascii="宋体" w:hAnsi="宋体" w:cs="Arial"/>
          <w:b/>
          <w:bCs/>
          <w:color w:val="000000"/>
          <w:sz w:val="44"/>
          <w:szCs w:val="44"/>
        </w:rPr>
        <w:t>宣州区政府投资建设工程招标代理机构</w:t>
      </w:r>
    </w:p>
    <w:p>
      <w:pPr>
        <w:widowControl/>
        <w:jc w:val="center"/>
        <w:rPr>
          <w:rFonts w:ascii="宋体" w:hAnsi="宋体" w:cs="Arial"/>
          <w:b/>
          <w:bCs/>
          <w:color w:val="000000"/>
          <w:sz w:val="44"/>
          <w:szCs w:val="44"/>
        </w:rPr>
      </w:pPr>
      <w:r>
        <w:rPr>
          <w:rFonts w:hint="eastAsia" w:ascii="宋体" w:hAnsi="宋体" w:cs="Arial"/>
          <w:b/>
          <w:bCs/>
          <w:color w:val="000000"/>
          <w:sz w:val="44"/>
          <w:szCs w:val="44"/>
        </w:rPr>
        <w:t>登记管理办法</w:t>
      </w:r>
    </w:p>
    <w:p>
      <w:pPr>
        <w:widowControl/>
        <w:autoSpaceDE w:val="0"/>
        <w:spacing w:line="400" w:lineRule="exact"/>
        <w:jc w:val="center"/>
        <w:rPr>
          <w:rFonts w:ascii="Arial" w:hAnsi="Arial" w:cs="Arial"/>
          <w:color w:val="000000"/>
          <w:szCs w:val="21"/>
        </w:rPr>
      </w:pPr>
      <w:r>
        <w:rPr>
          <w:rFonts w:ascii="Arial" w:hAnsi="Arial" w:cs="Arial"/>
          <w:color w:val="000000"/>
        </w:rPr>
        <w:t xml:space="preserve"> </w:t>
      </w:r>
    </w:p>
    <w:p>
      <w:pPr>
        <w:widowControl/>
        <w:numPr>
          <w:ilvl w:val="0"/>
          <w:numId w:val="1"/>
        </w:numPr>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为进一步加强对我区政府投资工程建设项目招标代理机构的</w:t>
      </w:r>
      <w:bookmarkStart w:id="0" w:name="_GoBack"/>
      <w:bookmarkEnd w:id="0"/>
      <w:r>
        <w:rPr>
          <w:rFonts w:hint="eastAsia" w:ascii="仿宋" w:hAnsi="仿宋" w:eastAsia="仿宋" w:cs="Arial"/>
          <w:color w:val="000000"/>
          <w:sz w:val="32"/>
          <w:szCs w:val="32"/>
        </w:rPr>
        <w:t>监督管理，维护招标投标市场正常秩序，规范招标代理从业行为，切实提高招标代理机构的服务质量和业务水平，引入招标代理市场的服务竞争机制，根据《宣城市工程建设项目招标代理机构不良行为管理办法》和有关法律、法规之规定，结合我区实际，制定本办法。</w:t>
      </w:r>
    </w:p>
    <w:p>
      <w:pPr>
        <w:widowControl/>
        <w:numPr>
          <w:ilvl w:val="0"/>
          <w:numId w:val="1"/>
        </w:numPr>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本办法所称招标代理机构（以下简称代理机构），是指在宣城市区范围内设立公司或分支机构，具备固定的经营场所和具有相应资质的专业人员，且在宣州区行政区域内从事政府投资工程建设项目招标代理业务的社会中介机构。</w:t>
      </w:r>
      <w:r>
        <w:rPr>
          <w:rFonts w:hint="eastAsia" w:ascii="仿宋" w:hAnsi="仿宋" w:eastAsia="仿宋" w:cs="Arial"/>
          <w:color w:val="000000"/>
          <w:sz w:val="32"/>
          <w:szCs w:val="32"/>
        </w:rPr>
        <w:br w:type="textWrapping"/>
      </w:r>
      <w:r>
        <w:rPr>
          <w:rFonts w:hint="eastAsia" w:ascii="仿宋" w:hAnsi="仿宋" w:eastAsia="仿宋" w:cs="Arial"/>
          <w:color w:val="000000"/>
          <w:sz w:val="32"/>
          <w:szCs w:val="32"/>
        </w:rPr>
        <w:t xml:space="preserve">   第三条 本办法适用于经宣州区公共资源交易监督管理委员会办公室（以下简称“区公管委办”）登记合格的代理机构。</w:t>
      </w:r>
    </w:p>
    <w:p>
      <w:pPr>
        <w:widowControl/>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第四条 凡在宣州区承接招标代理业务的代理机构，必须参加区公管委办组织的代理机构培训且现场考试合格后方可在宣州区开展业务。</w:t>
      </w:r>
    </w:p>
    <w:p>
      <w:pPr>
        <w:widowControl/>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第五条 培训、考试由区公管委办组织，时间为一年一次。经培训考试合格的代理机构在区政府网站予以公布。</w:t>
      </w:r>
    </w:p>
    <w:p>
      <w:pPr>
        <w:widowControl/>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第六条 建立信用评价机制。由区公管局、区公共资源交易中心、招标人按《宣城市工程建设项目招标代理机构评价标准》负责对代理机构在宣州区开展的代理工作进行评价。</w:t>
      </w:r>
    </w:p>
    <w:p>
      <w:pPr>
        <w:widowControl/>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第七条 评价结果的运用。对评价结果不符合要求的，严格按《宣城市工程建设项目招标代理机构不良行为管理办法》进行信用处理，并在宣城区人民政府网站和市公共资源交易服务网予以曝光。</w:t>
      </w:r>
      <w:r>
        <w:rPr>
          <w:rFonts w:hint="eastAsia" w:ascii="仿宋" w:hAnsi="仿宋" w:eastAsia="仿宋" w:cs="Arial"/>
          <w:color w:val="000000"/>
          <w:sz w:val="32"/>
          <w:szCs w:val="32"/>
        </w:rPr>
        <w:br w:type="textWrapping"/>
      </w:r>
      <w:r>
        <w:rPr>
          <w:rFonts w:hint="eastAsia" w:ascii="仿宋" w:hAnsi="仿宋" w:eastAsia="仿宋" w:cs="Arial"/>
          <w:color w:val="000000"/>
          <w:sz w:val="32"/>
          <w:szCs w:val="32"/>
        </w:rPr>
        <w:t xml:space="preserve">    第八条 代理机构对评价结果有异议的，自考评结果通知之日起3个工作日内向评价单位书面提出，详细说明理由或提供相关证据，否则不予受理。</w:t>
      </w:r>
    </w:p>
    <w:p>
      <w:pPr>
        <w:widowControl/>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 xml:space="preserve">第九条 代理机构及其执业人员违反法律法规应当行政处罚的，视情节轻重移交有关职能部门处理；涉嫌犯罪的，移送司法机关处理。 </w:t>
      </w:r>
    </w:p>
    <w:p>
      <w:pPr>
        <w:widowControl/>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第十条 本办法由区公管委办负责解释。</w:t>
      </w:r>
    </w:p>
    <w:p>
      <w:pPr>
        <w:widowControl/>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第十一条 本办法自发布之日起实行。</w:t>
      </w:r>
    </w:p>
    <w:p>
      <w:pPr>
        <w:spacing w:line="580" w:lineRule="exact"/>
        <w:ind w:left="160" w:leftChars="76" w:firstLine="469" w:firstLineChars="146"/>
        <w:rPr>
          <w:rFonts w:ascii="仿宋" w:hAnsi="仿宋" w:eastAsia="仿宋" w:cs="Arial"/>
          <w:b/>
          <w:bCs/>
          <w:color w:val="000000"/>
          <w:sz w:val="32"/>
          <w:szCs w:val="32"/>
        </w:rPr>
      </w:pPr>
      <w:r>
        <w:rPr>
          <w:rFonts w:hint="eastAsia" w:ascii="仿宋" w:hAnsi="仿宋" w:eastAsia="仿宋" w:cs="Arial"/>
          <w:b/>
          <w:bCs/>
          <w:color w:val="000000"/>
          <w:sz w:val="32"/>
          <w:szCs w:val="32"/>
        </w:rPr>
        <w:t xml:space="preserve"> </w:t>
      </w:r>
    </w:p>
    <w:p>
      <w:pPr>
        <w:spacing w:line="580" w:lineRule="exact"/>
        <w:ind w:left="160" w:leftChars="76" w:firstLine="469" w:firstLineChars="146"/>
        <w:rPr>
          <w:rFonts w:ascii="仿宋" w:hAnsi="仿宋" w:eastAsia="仿宋" w:cs="Arial"/>
          <w:b/>
          <w:bCs/>
          <w:color w:val="000000"/>
          <w:sz w:val="32"/>
          <w:szCs w:val="32"/>
        </w:rPr>
      </w:pPr>
    </w:p>
    <w:p>
      <w:pPr>
        <w:rPr>
          <w:rFonts w:ascii="仿宋" w:hAnsi="仿宋" w:eastAsia="仿宋" w:cs="Arial"/>
          <w:b/>
          <w:bCs/>
          <w:color w:val="000000"/>
          <w:sz w:val="32"/>
          <w:szCs w:val="32"/>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B79E"/>
    <w:multiLevelType w:val="singleLevel"/>
    <w:tmpl w:val="0E1BB79E"/>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4609B"/>
    <w:rsid w:val="0A346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2020-08-18T08:18:00Z</dcterms:created>
  <dc:creator>区数据资源局</dc:creator>
  <cp:lastModifiedBy>区数据资源局</cp:lastModifiedBy>
  <dcterms:modified xsi:type="dcterms:W3CDTF">2020-08-18T08:19:20Z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