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7"/>
        <w:autoSpaceDN w:val="0"/>
        <w:spacing w:line="520" w:lineRule="exact"/>
        <w:jc w:val="left"/>
        <w:rPr>
          <w:rFonts w:hint="eastAsia" w:ascii="仿宋_GB2312" w:eastAsia="仿宋_GB2312" w:cs="Times New Roman"/>
          <w:kern w:val="2"/>
          <w:sz w:val="32"/>
          <w:szCs w:val="32"/>
        </w:rPr>
      </w:pPr>
      <w:r>
        <w:rPr>
          <w:rFonts w:hint="eastAsia" w:ascii="仿宋_GB2312" w:eastAsia="仿宋_GB2312" w:cs="Times New Roman"/>
          <w:kern w:val="2"/>
          <w:sz w:val="32"/>
          <w:szCs w:val="32"/>
        </w:rPr>
        <w:t>附件</w:t>
      </w:r>
      <w:r>
        <w:rPr>
          <w:rFonts w:hint="eastAsia" w:ascii="仿宋_GB2312" w:eastAsia="仿宋_GB2312" w:cs="Times New Roman"/>
          <w:kern w:val="2"/>
          <w:sz w:val="32"/>
          <w:szCs w:val="32"/>
          <w:lang w:val="en-US" w:eastAsia="zh-CN"/>
        </w:rPr>
        <w:t>3</w:t>
      </w:r>
      <w:bookmarkStart w:id="0" w:name="_GoBack"/>
      <w:bookmarkEnd w:id="0"/>
    </w:p>
    <w:p>
      <w:pPr>
        <w:widowControl/>
        <w:spacing w:line="420" w:lineRule="atLeast"/>
        <w:jc w:val="center"/>
        <w:rPr>
          <w:rFonts w:hint="eastAsia" w:ascii="宋体" w:hAnsi="宋体" w:cs="Arial"/>
          <w:b/>
          <w:bCs/>
          <w:color w:val="1E1E1E"/>
          <w:kern w:val="0"/>
          <w:sz w:val="36"/>
          <w:szCs w:val="36"/>
        </w:rPr>
      </w:pPr>
      <w:r>
        <w:rPr>
          <w:rStyle w:val="5"/>
          <w:rFonts w:hint="eastAsia" w:ascii="方正小标宋简体" w:hAnsi="方正小标宋简体" w:eastAsia="方正小标宋简体" w:cs="方正小标宋简体"/>
          <w:b w:val="0"/>
          <w:bCs w:val="0"/>
          <w:color w:val="1E1E1E"/>
          <w:sz w:val="36"/>
          <w:szCs w:val="36"/>
        </w:rPr>
        <w:t>建筑工地除“四害”工作达标要求</w:t>
      </w:r>
    </w:p>
    <w:p>
      <w:pPr>
        <w:widowControl/>
        <w:spacing w:line="420" w:lineRule="atLeast"/>
        <w:rPr>
          <w:rFonts w:hint="eastAsia" w:ascii="宋体" w:hAnsi="宋体" w:cs="Arial"/>
          <w:color w:val="1E1E1E"/>
          <w:kern w:val="0"/>
          <w:sz w:val="24"/>
        </w:rPr>
      </w:pPr>
    </w:p>
    <w:p>
      <w:pPr>
        <w:spacing w:line="240" w:lineRule="auto"/>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 各类四害孳生场所得到有效控制</w:t>
      </w:r>
    </w:p>
    <w:p>
      <w:pPr>
        <w:spacing w:line="24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1、生活区垃圾箱密闭，垃圾入箱、无外溢，日产日清；垃圾箱外壳尤其是垃圾倾倒口经常刷洗，保持整洁；垃圾箱外无坑洼、积水。</w:t>
      </w:r>
    </w:p>
    <w:p>
      <w:pPr>
        <w:spacing w:line="24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2、食堂内各种箱柜密闭，无缝隙；室内墙壁、装饰条、地脚线、电柜、灭火器箱等无明显缝隙。</w:t>
      </w:r>
    </w:p>
    <w:p>
      <w:pPr>
        <w:spacing w:line="24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3、工地临时厕所要保持清洁卫生，有专人清扫，厕内清洁，无尿垢，无蝇蛆，基本无臭。</w:t>
      </w:r>
    </w:p>
    <w:p>
      <w:pPr>
        <w:spacing w:line="24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4、工地临时工棚应保持内外环境整洁，工人宿舍有完整无损纱窗、纱门(或门帘)。 </w:t>
      </w:r>
    </w:p>
    <w:p>
      <w:pPr>
        <w:spacing w:line="24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5、工地尽量无积水，外环境有鼠洞及时填塞，鼠迹及时清理。</w:t>
      </w:r>
    </w:p>
    <w:p>
      <w:pPr>
        <w:spacing w:line="240" w:lineRule="auto"/>
        <w:ind w:firstLine="640" w:firstLineChars="200"/>
        <w:rPr>
          <w:rFonts w:hint="eastAsia" w:ascii="仿宋_GB2312" w:hAnsi="宋体" w:eastAsia="仿宋_GB2312"/>
          <w:b/>
          <w:bCs/>
          <w:sz w:val="32"/>
          <w:szCs w:val="32"/>
        </w:rPr>
      </w:pPr>
      <w:r>
        <w:rPr>
          <w:rFonts w:hint="eastAsia" w:ascii="仿宋_GB2312" w:hAnsi="宋体" w:eastAsia="仿宋_GB2312"/>
          <w:b/>
          <w:bCs/>
          <w:sz w:val="32"/>
          <w:szCs w:val="32"/>
        </w:rPr>
        <w:t>（二）重点部位防护设施落实到位</w:t>
      </w:r>
    </w:p>
    <w:p>
      <w:pPr>
        <w:spacing w:line="24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工地食堂等重点部门应做好以下防护设施。</w:t>
      </w:r>
    </w:p>
    <w:p>
      <w:pPr>
        <w:spacing w:line="24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1、食堂内下水道口和排水沟出口要加设孔径小于6mm的金属网罩或隔栅。</w:t>
      </w:r>
    </w:p>
    <w:p>
      <w:pPr>
        <w:spacing w:line="24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2、食堂操作间、仓库、储藏室室内门窗的缝隙必须小于6mm，如果是木质的门，门下端要包铁皮，高度不低于30cm；</w:t>
      </w:r>
    </w:p>
    <w:p>
      <w:pPr>
        <w:spacing w:line="24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3、排气扇排气口装有网眼孔径小于6mm的金属隔栅或网罩。</w:t>
      </w:r>
    </w:p>
    <w:p>
      <w:pPr>
        <w:spacing w:line="24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4、所有管道、线路和电缆进出室内的孔洞都要用水泥堵塞。</w:t>
      </w:r>
    </w:p>
    <w:p>
      <w:pPr>
        <w:spacing w:line="24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5、室内天花板要求无开口，防止鼠在上面活动。</w:t>
      </w:r>
    </w:p>
    <w:p>
      <w:pPr>
        <w:spacing w:line="24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6、室外雨水落管上端要加铁皮球，下端要离地面30cm，防止鼠进入。</w:t>
      </w:r>
    </w:p>
    <w:p>
      <w:pPr>
        <w:spacing w:line="24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7、库房必须配备一定数量的灭鼠器械，如鼠笼、鼠夹、粘鼠板、超声波灭鼠器等。</w:t>
      </w:r>
    </w:p>
    <w:p>
      <w:pPr>
        <w:spacing w:line="24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8、食堂与外界相通的门、窗要装风幕机、纱门、防蝇帘、纱窗等防蝇设施；操作间和餐厅配备灭蝇灯等设备，一般每30平方米配备1只；食堂外环境和垃圾箱周围，配备适量诱蝇笼。</w:t>
      </w:r>
    </w:p>
    <w:p>
      <w:pPr>
        <w:spacing w:line="24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9、厕所加装防蝇纱窗和门帘。</w:t>
      </w:r>
    </w:p>
    <w:p>
      <w:pPr>
        <w:spacing w:line="240" w:lineRule="auto"/>
        <w:ind w:firstLine="640" w:firstLineChars="200"/>
        <w:rPr>
          <w:rFonts w:hint="eastAsia" w:ascii="仿宋_GB2312" w:hAnsi="宋体" w:eastAsia="仿宋_GB2312"/>
          <w:b/>
          <w:bCs/>
          <w:sz w:val="32"/>
          <w:szCs w:val="32"/>
        </w:rPr>
      </w:pPr>
      <w:r>
        <w:rPr>
          <w:rFonts w:hint="eastAsia" w:ascii="仿宋_GB2312" w:hAnsi="宋体" w:eastAsia="仿宋_GB2312"/>
          <w:b/>
          <w:bCs/>
          <w:sz w:val="32"/>
          <w:szCs w:val="32"/>
        </w:rPr>
        <w:t>(三)定期消杀，合理用药</w:t>
      </w:r>
    </w:p>
    <w:p>
      <w:pPr>
        <w:spacing w:line="24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1、备有灭鼠、灭蟑、灭蚊蝇药物，并根据四害密度情况开展消杀。</w:t>
      </w:r>
    </w:p>
    <w:p>
      <w:pPr>
        <w:spacing w:line="24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工地外环境和食堂周围沿墙边隐蔽处每20-30米设置一个毒饵站。食堂的库房备有灭鼠器械或灭鼠毒饵盒。严禁使用毒鼠强等国家禁用的急性剧毒鼠药。用鼠药灭鼠时要有专人负责投放、回收等管理，严防人畜中毒事故的发生。</w:t>
      </w:r>
    </w:p>
    <w:p>
      <w:pPr>
        <w:spacing w:line="24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3、室内各种箱、柜、椅、墙缝等处定期进行检查，发现蟑螂及时进行杀灭。</w:t>
      </w:r>
    </w:p>
    <w:p>
      <w:pPr>
        <w:spacing w:line="24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4、经常开展蚊蝇消杀，具体间隔时间根据苍蝇密度确定，其中厕所、垃圾箱和废弃物堆放处每1～2天喷药消杀1次。</w:t>
      </w:r>
    </w:p>
    <w:p>
      <w:pPr>
        <w:spacing w:line="24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5、对暂时不能清除的积水，在蚊虫孳生季节每半月投放一次球形芽孢杆菌或化学杀虫剂及其缓释剂灭蚊幼。</w:t>
      </w:r>
    </w:p>
    <w:p>
      <w:pPr>
        <w:spacing w:line="240" w:lineRule="auto"/>
        <w:ind w:firstLine="640" w:firstLineChars="200"/>
        <w:rPr>
          <w:rFonts w:hint="eastAsia" w:ascii="仿宋_GB2312" w:hAnsi="宋体" w:eastAsia="仿宋_GB2312"/>
          <w:b/>
          <w:bCs/>
          <w:sz w:val="32"/>
          <w:szCs w:val="32"/>
        </w:rPr>
      </w:pPr>
      <w:r>
        <w:rPr>
          <w:rFonts w:hint="eastAsia" w:ascii="仿宋_GB2312" w:hAnsi="宋体" w:eastAsia="仿宋_GB2312"/>
          <w:b/>
          <w:bCs/>
          <w:sz w:val="32"/>
          <w:szCs w:val="32"/>
        </w:rPr>
        <w:t>(四)四害密度不超标</w:t>
      </w:r>
    </w:p>
    <w:p>
      <w:pPr>
        <w:spacing w:line="24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1、室内各场所、外环境无活鼠，无鼠粪、鼠洞、鼠咬痕等鼠迹。</w:t>
      </w:r>
    </w:p>
    <w:p>
      <w:pPr>
        <w:spacing w:line="24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2、食堂等加工直接入口食品的场所不得有蝇，厕所、垃圾废弃物堆放处、下水道、泔脚缸无蝇蛆。</w:t>
      </w:r>
    </w:p>
    <w:p>
      <w:pPr>
        <w:spacing w:line="24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3、室内无活蟑螂和蟑螂卵鞘、粪便、蜕皮、死蟑螂等。</w:t>
      </w:r>
    </w:p>
    <w:p>
      <w:pPr>
        <w:spacing w:line="24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4、各种积水处无蚊幼孳生。</w:t>
      </w:r>
    </w:p>
    <w:p>
      <w:pPr>
        <w:spacing w:line="520" w:lineRule="exact"/>
        <w:rPr>
          <w:rFonts w:hint="eastAsia" w:ascii="仿宋_GB2312" w:hAnsi="宋体" w:eastAsia="仿宋_GB2312"/>
          <w:sz w:val="32"/>
          <w:szCs w:val="32"/>
        </w:rPr>
      </w:pPr>
    </w:p>
    <w:p>
      <w:pPr>
        <w:spacing w:line="520" w:lineRule="exact"/>
        <w:rPr>
          <w:rFonts w:hint="eastAsia" w:ascii="仿宋_GB2312" w:hAnsi="宋体" w:eastAsia="仿宋_GB2312"/>
          <w:sz w:val="32"/>
          <w:szCs w:val="32"/>
        </w:rPr>
      </w:pPr>
    </w:p>
    <w:p>
      <w:pPr>
        <w:spacing w:line="520" w:lineRule="exact"/>
        <w:rPr>
          <w:rFonts w:hint="eastAsia" w:ascii="仿宋_GB2312" w:hAnsi="宋体" w:eastAsia="仿宋_GB2312"/>
          <w:sz w:val="32"/>
          <w:szCs w:val="32"/>
        </w:rPr>
      </w:pPr>
    </w:p>
    <w:p>
      <w:pPr>
        <w:spacing w:line="520" w:lineRule="exact"/>
        <w:rPr>
          <w:rFonts w:hint="eastAsia" w:ascii="仿宋_GB2312" w:hAnsi="宋体" w:eastAsia="仿宋_GB2312"/>
          <w:sz w:val="32"/>
          <w:szCs w:val="32"/>
        </w:rPr>
      </w:pPr>
    </w:p>
    <w:p>
      <w:pPr>
        <w:spacing w:line="520" w:lineRule="exact"/>
        <w:rPr>
          <w:rFonts w:hint="eastAsia" w:ascii="仿宋_GB2312" w:hAnsi="宋体" w:eastAsia="仿宋_GB2312"/>
          <w:sz w:val="32"/>
          <w:szCs w:val="32"/>
        </w:rPr>
      </w:pPr>
    </w:p>
    <w:p>
      <w:pPr>
        <w:spacing w:line="520" w:lineRule="exact"/>
        <w:rPr>
          <w:rFonts w:hint="eastAsia" w:ascii="仿宋_GB2312" w:hAnsi="宋体" w:eastAsia="仿宋_GB2312"/>
          <w:sz w:val="32"/>
          <w:szCs w:val="32"/>
        </w:rPr>
      </w:pPr>
    </w:p>
    <w:p>
      <w:pPr>
        <w:spacing w:line="520" w:lineRule="exact"/>
        <w:rPr>
          <w:rFonts w:hint="eastAsia" w:ascii="仿宋_GB2312" w:hAnsi="宋体" w:eastAsia="仿宋_GB2312"/>
          <w:sz w:val="32"/>
          <w:szCs w:val="32"/>
        </w:rPr>
      </w:pPr>
    </w:p>
    <w:p>
      <w:pPr>
        <w:spacing w:line="520" w:lineRule="exact"/>
        <w:rPr>
          <w:rFonts w:hint="eastAsia" w:ascii="仿宋_GB2312" w:hAnsi="宋体" w:eastAsia="仿宋_GB2312"/>
          <w:sz w:val="32"/>
          <w:szCs w:val="32"/>
        </w:rPr>
      </w:pPr>
    </w:p>
    <w:p>
      <w:pPr>
        <w:spacing w:line="240" w:lineRule="auto"/>
        <w:rPr>
          <w:rFonts w:hint="eastAsia" w:ascii="仿宋_GB2312" w:hAnsi="仿宋_GB2312" w:eastAsia="仿宋_GB2312" w:cs="仿宋_GB2312"/>
          <w:b w:val="0"/>
          <w:i w:val="0"/>
          <w:caps w:val="0"/>
          <w:color w:val="333333"/>
          <w:spacing w:val="0"/>
          <w:kern w:val="0"/>
          <w:sz w:val="32"/>
          <w:szCs w:val="32"/>
          <w:shd w:val="clear" w:color="auto" w:fill="FFFFFF"/>
          <w:lang w:val="en-US" w:eastAsia="zh-CN"/>
        </w:rPr>
      </w:pPr>
    </w:p>
    <w:sectPr>
      <w:footerReference r:id="rId4" w:type="default"/>
      <w:pgSz w:w="11906" w:h="16838"/>
      <w:pgMar w:top="2098" w:right="1531" w:bottom="1984" w:left="1531" w:header="1531" w:footer="1587" w:gutter="113"/>
      <w:pgNumType w:fmt="numberInDash"/>
      <w:cols w:space="720" w:num="1"/>
      <w:titlePg/>
      <w:rtlGutter w:val="0"/>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basedOn w:val="4"/>
    <w:rPr>
      <w:b/>
      <w:bCs/>
    </w:rPr>
  </w:style>
  <w:style w:type="paragraph" w:customStyle="1" w:styleId="6">
    <w:name w:val="Normal (Web)"/>
    <w:basedOn w:val="1"/>
    <w:pPr>
      <w:widowControl/>
      <w:spacing w:before="100" w:beforeAutospacing="1" w:after="100" w:afterAutospacing="1"/>
      <w:jc w:val="left"/>
    </w:pPr>
    <w:rPr>
      <w:rFonts w:ascii="宋体" w:hAnsi="宋体" w:eastAsia="宋体" w:cs="宋体"/>
      <w:kern w:val="0"/>
      <w:sz w:val="24"/>
      <w:szCs w:val="24"/>
    </w:rPr>
  </w:style>
  <w:style w:type="paragraph" w:customStyle="1" w:styleId="7">
    <w:name w:val="p0"/>
    <w:pPr>
      <w:jc w:val="both"/>
    </w:pPr>
    <w:rPr>
      <w:rFonts w:ascii="宋体" w:hAnsi="宋体" w:cs="宋体"/>
      <w:sz w:val="21"/>
      <w:szCs w:val="21"/>
      <w:lang w:val="en-US" w:eastAsia="zh-CN" w:bidi="ar-SA"/>
    </w:rPr>
  </w:style>
  <w:style w:type="character" w:customStyle="1" w:styleId="8">
    <w:name w:val="page number"/>
    <w:basedOn w:val="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2017-03-20T03:53:00Z</dcterms:created>
  <dc:creator>Administrator</dc:creator>
  <cp:lastPrinted>2020-03-07T01:31:00Z</cp:lastPrinted>
  <dcterms:modified xsi:type="dcterms:W3CDTF">2020-03-18T09:01:54Z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