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关于印发《宣城市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工程建设项目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标后履约联合检查实施办法》的通知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widowControl w:val="0"/>
        <w:wordWrap/>
        <w:adjustRightInd/>
        <w:snapToGrid/>
        <w:ind w:left="640" w:leftChars="0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市直有关单位，各县(市、区)公管局，广德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数据资源局:《宣城市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工程建设项目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标后履约联合检查实施办法》已</w:t>
      </w:r>
    </w:p>
    <w:p>
      <w:pPr>
        <w:widowControl w:val="0"/>
        <w:wordWrap/>
        <w:adjustRightInd/>
        <w:snapToGrid/>
        <w:ind w:left="640" w:leftChars="0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修订完善，现印发给你们，请遵照执行。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2021年5月  日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宣城市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工程建设项目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标后履约联合检查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实施办法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为维护我市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工程建设项目招投标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市场秩序，促进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市场主体各方加强管理、诚信履约，依据《中华人民共和国招标投标法》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实施条例、《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公共资源交易监督管理办法》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公共资源交易监督管理办法》等法律法规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，制定本办法。</w:t>
      </w:r>
    </w:p>
    <w:p>
      <w:pPr>
        <w:widowControl w:val="0"/>
        <w:wordWrap/>
        <w:adjustRightInd/>
        <w:snapToGrid/>
        <w:ind w:left="0" w:leftChars="0" w:firstLine="643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本办法所称的标后履约联合检查是指市公共资源交易综合管理部门(以下简称“市公管局”)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牵头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市本级范围内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进入市公共资源交易平台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依法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招标的国有资金工程建设项目标后履约行为进行的检查活动。</w:t>
      </w:r>
    </w:p>
    <w:p>
      <w:pPr>
        <w:widowControl w:val="0"/>
        <w:wordWrap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招标人</w:t>
      </w:r>
      <w:r>
        <w:rPr>
          <w:rFonts w:hint="eastAsia" w:ascii="仿宋_GB2312" w:hAnsi="仿宋_GB2312" w:eastAsia="仿宋_GB2312" w:cs="仿宋_GB2312"/>
          <w:sz w:val="32"/>
          <w:szCs w:val="32"/>
        </w:rPr>
        <w:t>是标后履约管理的第一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，对项目的标后履约监管全面负责，承担法定责任和义务，应按照合同约定加强对中标人履约情况的跟踪考核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、监督管理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第四条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标后履约联合检查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主要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采用“双随机、一公开”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原则上每季度开展一次，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检查项目从已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开工建设的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项目中随机抽取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原则上不少于当季开工建设招标项目的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工程建设项目、重大民生项目、有投诉举报项目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以及招标人要求开展检查的项目履约情况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市公管局组建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标后履约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联合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检查组，检查组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成员由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市公管局随机抽取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15"/>
          <w:sz w:val="32"/>
          <w:szCs w:val="32"/>
          <w:shd w:val="clear" w:color="080000" w:fill="FFFFFF"/>
        </w:rPr>
        <w:t>两名以上执法人员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15"/>
          <w:sz w:val="32"/>
          <w:szCs w:val="32"/>
          <w:shd w:val="clear" w:color="080000" w:fill="FFFFFF"/>
          <w:lang w:eastAsia="zh-CN"/>
        </w:rPr>
        <w:t>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建设单位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或行业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主管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部门人员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共同组成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。</w:t>
      </w:r>
    </w:p>
    <w:p>
      <w:pPr>
        <w:widowControl w:val="0"/>
        <w:wordWrap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32"/>
          <w:szCs w:val="32"/>
          <w:lang w:val="en-US" w:eastAsia="zh-CN" w:bidi="ar-SA"/>
        </w:rPr>
        <w:t>第六条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color="080000" w:fill="FFFFFF"/>
        </w:rPr>
        <w:t> 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shd w:val="clear" w:color="0A0000" w:fill="FFFFFF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标后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履约联合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检查内容主要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</w:rPr>
        <w:t>设工程项目是否存在转包、违法分包、挂靠等违法行为;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2、建设工程项目合同签订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;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3、建设工程施工许可证(开工备案)办理情况;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4、</w:t>
      </w:r>
      <w:r>
        <w:rPr>
          <w:rFonts w:ascii="仿宋_GB2312" w:hAnsi="宋体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color="080000" w:fill="FFFFFF"/>
        </w:rPr>
        <w:t>是否依据投标承诺组成施工项目部、监理部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;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color="080000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项目部关键岗位人员与投标文件是否一致及到岗履职情况，人员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变更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是否符合相关规定;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6、关键岗位人员广域网考勤是否合格（如有）；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color="080000" w:fill="FFFFFF"/>
          <w:lang w:val="en-US" w:eastAsia="zh-CN"/>
        </w:rPr>
        <w:t>7、</w:t>
      </w:r>
      <w:r>
        <w:rPr>
          <w:rFonts w:ascii="仿宋_GB2312" w:hAnsi="宋体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color="080000" w:fill="FFFFFF"/>
        </w:rPr>
        <w:t>建设单位是否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color="080000" w:fill="FFFFFF"/>
        </w:rPr>
        <w:t>建立监理、施工单位考勤制度，相关考勤记录是否齐全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color="080000" w:fill="FFFFFF"/>
          <w:lang w:eastAsia="zh-CN"/>
        </w:rPr>
        <w:t>；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8、合同规定的其他内容；</w:t>
      </w:r>
    </w:p>
    <w:bookmarkEnd w:id="0"/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9、相关政策宣传。</w:t>
      </w:r>
    </w:p>
    <w:p>
      <w:pPr>
        <w:widowControl w:val="0"/>
        <w:wordWrap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标后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履约联合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检查程序: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1、市公管局发起或由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招标人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提请市公管局发起</w:t>
      </w:r>
      <w:r>
        <w:rPr>
          <w:rFonts w:hint="eastAsia" w:ascii="仿宋_GB2312" w:hAnsi="仿宋_GB2312" w:eastAsia="仿宋_GB2312" w:cs="仿宋_GB2312"/>
          <w:sz w:val="32"/>
          <w:szCs w:val="32"/>
        </w:rPr>
        <w:t>标后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履约联合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;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2、市公管局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随机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确定检查时间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，随机抽取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项目;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查阅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台账</w:t>
      </w:r>
      <w:r>
        <w:rPr>
          <w:rFonts w:hint="eastAsia" w:ascii="仿宋_GB2312" w:hAnsi="仿宋_GB2312" w:eastAsia="仿宋_GB2312" w:cs="仿宋_GB2312"/>
          <w:sz w:val="32"/>
          <w:szCs w:val="32"/>
        </w:rPr>
        <w:t>、了解建设情况、查看施工现场管理机构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核实关键岗位人员身份等;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4、现场填写《在建工程项目中标企业标后履约检查表》(详见附件)，各相关人员签字确认;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形成检查材料并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通报各相关部门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和招标人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市公管局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《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宣城市工程建设项目投标人不良行为管理办法》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检查中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存在问题的相关责任主体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不良行为记录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通报。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招标人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负责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对存在问题进行督促整改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并及时向市公管局反馈整改情况。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检查中发现施工单位、监理单位有违法违规行为的，由有关行业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部门依据有关规定进行处理。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市公管局不定期对存在问题的项目进行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复查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，督促整改工作。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标后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履约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应严格遵守相关规定，对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滥用职权、玩忽职守、徇私舞弊行为的，依据相关规定追究有关责任人员责任;涉嫌犯罪的，移送司法机关追究刑事责任。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各县(市、区)可参照本办法执行。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本办法由市公管局负责解释。</w:t>
      </w:r>
    </w:p>
    <w:p>
      <w:pPr>
        <w:widowControl w:val="0"/>
        <w:wordWrap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印发之日起施行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。原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《宣城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市公共资源交易标后履约联合检查实施办法（试行）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（宣公管〔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）废止。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附件：   </w:t>
      </w:r>
    </w:p>
    <w:tbl>
      <w:tblPr>
        <w:tblStyle w:val="2"/>
        <w:tblW w:w="86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928"/>
        <w:gridCol w:w="1939"/>
        <w:gridCol w:w="2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68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在建工程项目中标企业标后履约检查表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7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工程名称</w:t>
            </w:r>
          </w:p>
        </w:tc>
        <w:tc>
          <w:tcPr>
            <w:tcW w:w="490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建设单位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施工单位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监理单位</w:t>
            </w:r>
          </w:p>
        </w:tc>
        <w:tc>
          <w:tcPr>
            <w:tcW w:w="49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检查时间</w:t>
            </w:r>
          </w:p>
        </w:tc>
        <w:tc>
          <w:tcPr>
            <w:tcW w:w="49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年   月   日   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容</w:t>
            </w:r>
          </w:p>
        </w:tc>
        <w:tc>
          <w:tcPr>
            <w:tcW w:w="292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检查内容</w:t>
            </w:r>
          </w:p>
        </w:tc>
        <w:tc>
          <w:tcPr>
            <w:tcW w:w="19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检查情况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是否存在转包、违法分包、挂靠等违法行为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合同是否签订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是否按要求组建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项目部、监理部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项目经理是否在岗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项目总监是否在岗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技术负责人是否在岗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施工、质检、安全员、专监是否在岗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监理、施工单位考勤制度，相关考勤记录是否齐全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是否采用广域网定位考勤系统管理考勤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广域网考勤不合格信息</w:t>
            </w:r>
          </w:p>
        </w:tc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项目部负责人确认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（签字）</w:t>
            </w:r>
          </w:p>
        </w:tc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检查组成员（签字）：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E3090"/>
    <w:rsid w:val="7BE94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2021-04-25T00:22:00Z</dcterms:created>
  <dc:creator>FIOTORO</dc:creator>
  <cp:lastModifiedBy>FIOTORO</cp:lastModifiedBy>
  <cp:lastPrinted>2021-05-09T16:31:00Z</cp:lastPrinted>
  <dcterms:modified xsi:type="dcterms:W3CDTF">2021-05-18T08:40:35Z</dcterms:modified>
  <dc:title>FIOTORO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51DE7A9A3D2E4619B2FE611FA870FCF6</vt:lpwstr>
  </property>
</Properties>
</file>