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方正小标宋简体"/>
          <w:b/>
          <w:bCs/>
          <w:color w:val="FF0000"/>
          <w:spacing w:val="104"/>
          <w:kern w:val="10"/>
          <w:sz w:val="112"/>
          <w:szCs w:val="36"/>
        </w:rPr>
      </w:pPr>
      <w:bookmarkStart w:id="0" w:name="_GoBack"/>
      <w:bookmarkEnd w:id="0"/>
      <w:r>
        <w:rPr>
          <w:rFonts w:hint="eastAsia" w:eastAsia="方正小标宋简体"/>
          <w:b/>
          <w:bCs/>
          <w:color w:val="FF0000"/>
          <w:spacing w:val="104"/>
          <w:kern w:val="10"/>
          <w:sz w:val="112"/>
          <w:szCs w:val="36"/>
        </w:rPr>
        <w:t>旌德金融动态</w:t>
      </w:r>
    </w:p>
    <w:p>
      <w:pPr>
        <w:rPr>
          <w:bCs/>
          <w:spacing w:val="104"/>
          <w:kern w:val="10"/>
          <w:sz w:val="24"/>
          <w:szCs w:val="36"/>
        </w:rPr>
      </w:pPr>
    </w:p>
    <w:p>
      <w:pPr>
        <w:jc w:val="center"/>
        <w:rPr>
          <w:rFonts w:eastAsia="楷体_GB2312"/>
          <w:bCs/>
          <w:sz w:val="32"/>
          <w:szCs w:val="36"/>
        </w:rPr>
      </w:pPr>
      <w:r>
        <w:rPr>
          <w:rFonts w:hint="eastAsia" w:eastAsia="楷体_GB2312"/>
          <w:bCs/>
          <w:sz w:val="32"/>
          <w:szCs w:val="36"/>
        </w:rPr>
        <w:t>（第</w:t>
      </w:r>
      <w:r>
        <w:rPr>
          <w:rFonts w:eastAsia="楷体_GB2312"/>
          <w:bCs/>
          <w:sz w:val="32"/>
          <w:szCs w:val="36"/>
        </w:rPr>
        <w:t xml:space="preserve"> </w:t>
      </w:r>
      <w:r>
        <w:rPr>
          <w:rFonts w:hint="eastAsia" w:eastAsia="楷体_GB2312"/>
          <w:bCs/>
          <w:sz w:val="32"/>
          <w:szCs w:val="36"/>
        </w:rPr>
        <w:t>六</w:t>
      </w:r>
      <w:r>
        <w:rPr>
          <w:rFonts w:eastAsia="楷体_GB2312"/>
          <w:bCs/>
          <w:sz w:val="32"/>
          <w:szCs w:val="36"/>
        </w:rPr>
        <w:t xml:space="preserve"> </w:t>
      </w:r>
      <w:r>
        <w:rPr>
          <w:rFonts w:hint="eastAsia" w:eastAsia="楷体_GB2312"/>
          <w:bCs/>
          <w:sz w:val="32"/>
          <w:szCs w:val="36"/>
        </w:rPr>
        <w:t>期）</w:t>
      </w:r>
    </w:p>
    <w:p>
      <w:pPr>
        <w:rPr>
          <w:rFonts w:ascii="仿宋" w:hAnsi="仿宋" w:eastAsia="仿宋"/>
          <w:bCs/>
          <w:sz w:val="32"/>
          <w:szCs w:val="36"/>
        </w:rPr>
      </w:pPr>
      <w:r>
        <w:rPr>
          <w:rFonts w:hint="eastAsia" w:ascii="仿宋" w:hAnsi="仿宋" w:eastAsia="仿宋"/>
          <w:bCs/>
          <w:color w:val="000000"/>
          <w:w w:val="90"/>
          <w:sz w:val="32"/>
          <w:szCs w:val="36"/>
        </w:rPr>
        <w:t>旌德县地方金融监督管理局</w:t>
      </w:r>
      <w:r>
        <w:rPr>
          <w:rFonts w:ascii="仿宋" w:hAnsi="仿宋" w:eastAsia="仿宋"/>
          <w:bCs/>
          <w:color w:val="000000"/>
          <w:w w:val="90"/>
          <w:sz w:val="32"/>
          <w:szCs w:val="36"/>
        </w:rPr>
        <w:t xml:space="preserve">                </w:t>
      </w:r>
      <w:r>
        <w:rPr>
          <w:rFonts w:ascii="仿宋" w:hAnsi="仿宋" w:eastAsia="仿宋"/>
          <w:b/>
          <w:bCs/>
          <w:sz w:val="28"/>
          <w:szCs w:val="36"/>
        </w:rPr>
        <w:t>2020</w:t>
      </w:r>
      <w:r>
        <w:rPr>
          <w:rFonts w:hint="eastAsia" w:ascii="仿宋" w:hAnsi="仿宋" w:eastAsia="仿宋"/>
          <w:bCs/>
          <w:sz w:val="32"/>
          <w:szCs w:val="36"/>
        </w:rPr>
        <w:t>年</w:t>
      </w:r>
      <w:r>
        <w:rPr>
          <w:rFonts w:ascii="仿宋" w:hAnsi="仿宋" w:eastAsia="仿宋"/>
          <w:bCs/>
          <w:sz w:val="32"/>
          <w:szCs w:val="36"/>
        </w:rPr>
        <w:t>7</w:t>
      </w:r>
      <w:r>
        <w:rPr>
          <w:rFonts w:hint="eastAsia" w:ascii="仿宋" w:hAnsi="仿宋" w:eastAsia="仿宋"/>
          <w:bCs/>
          <w:sz w:val="32"/>
          <w:szCs w:val="36"/>
        </w:rPr>
        <w:t>月</w:t>
      </w:r>
      <w:r>
        <w:rPr>
          <w:rFonts w:ascii="仿宋" w:hAnsi="仿宋" w:eastAsia="仿宋"/>
          <w:bCs/>
          <w:sz w:val="32"/>
          <w:szCs w:val="36"/>
        </w:rPr>
        <w:t>15</w:t>
      </w:r>
      <w:r>
        <w:rPr>
          <w:rFonts w:hint="eastAsia" w:ascii="仿宋" w:hAnsi="仿宋" w:eastAsia="仿宋"/>
          <w:bCs/>
          <w:sz w:val="32"/>
          <w:szCs w:val="36"/>
        </w:rPr>
        <w:t>日</w:t>
      </w:r>
    </w:p>
    <w:p>
      <w:pPr>
        <w:rPr>
          <w:rFonts w:ascii="仿宋_GB2312" w:hAnsi="仿宋_GB2312" w:eastAsia="仿宋_GB2312" w:cs="仿宋_GB2312"/>
          <w:sz w:val="32"/>
          <w:szCs w:val="32"/>
        </w:rPr>
      </w:pPr>
      <w:r>
        <mc:AlternateContent>
          <mc:Choice Requires="wps">
            <w:drawing>
              <wp:anchor distT="0" distB="0" distL="114300" distR="114300" simplePos="0" relativeHeight="251656192" behindDoc="1" locked="0" layoutInCell="1" allowOverlap="1">
                <wp:simplePos x="0" y="0"/>
                <wp:positionH relativeFrom="column">
                  <wp:posOffset>45085</wp:posOffset>
                </wp:positionH>
                <wp:positionV relativeFrom="paragraph">
                  <wp:posOffset>350520</wp:posOffset>
                </wp:positionV>
                <wp:extent cx="1904365" cy="545465"/>
                <wp:effectExtent l="19050" t="19050" r="19685" b="26035"/>
                <wp:wrapTight wrapText="bothSides">
                  <wp:wrapPolygon>
                    <wp:start x="-217" y="-758"/>
                    <wp:lineTo x="-217" y="21979"/>
                    <wp:lineTo x="21817" y="21979"/>
                    <wp:lineTo x="21817" y="-758"/>
                    <wp:lineTo x="-217" y="-758"/>
                  </wp:wrapPolygon>
                </wp:wrapTight>
                <wp:docPr id="7" name="文本框 7"/>
                <wp:cNvGraphicFramePr/>
                <a:graphic xmlns:a="http://schemas.openxmlformats.org/drawingml/2006/main">
                  <a:graphicData uri="http://schemas.microsoft.com/office/word/2010/wordprocessingShape">
                    <wps:wsp>
                      <wps:cNvSpPr txBox="1"/>
                      <wps:spPr>
                        <a:xfrm>
                          <a:off x="0" y="0"/>
                          <a:ext cx="1904365" cy="545465"/>
                        </a:xfrm>
                        <a:prstGeom prst="rect">
                          <a:avLst/>
                        </a:prstGeom>
                        <a:solidFill>
                          <a:srgbClr val="FFFFFF"/>
                        </a:solidFill>
                        <a:ln w="38100" cap="flat" cmpd="sng">
                          <a:solidFill>
                            <a:srgbClr val="FF0000"/>
                          </a:solidFill>
                          <a:prstDash val="solid"/>
                          <a:miter/>
                          <a:headEnd type="none" w="med" len="med"/>
                          <a:tailEnd type="none" w="med" len="med"/>
                        </a:ln>
                        <a:effectLst/>
                      </wps:spPr>
                      <wps:txbx>
                        <w:txbxContent>
                          <w:p>
                            <w:pPr>
                              <w:rPr>
                                <w:rFonts w:eastAsia="楷体_GB2312"/>
                                <w:b/>
                                <w:sz w:val="44"/>
                              </w:rPr>
                            </w:pPr>
                            <w:r>
                              <w:rPr>
                                <w:rFonts w:hint="eastAsia" w:eastAsia="楷体_GB2312"/>
                                <w:b/>
                                <w:sz w:val="44"/>
                              </w:rPr>
                              <w:t>金融运营动态</w:t>
                            </w:r>
                          </w:p>
                        </w:txbxContent>
                      </wps:txbx>
                      <wps:bodyPr wrap="none" upright="1"/>
                    </wps:wsp>
                  </a:graphicData>
                </a:graphic>
              </wp:anchor>
            </w:drawing>
          </mc:Choice>
          <mc:Fallback>
            <w:pict>
              <v:shape id="_x0000_s1026" o:spid="_x0000_s1026" o:spt="202" type="#_x0000_t202" style="position:absolute;left:0pt;margin-left:3.55pt;margin-top:27.6pt;height:42.95pt;width:149.95pt;mso-wrap-distance-left:9pt;mso-wrap-distance-right:9pt;mso-wrap-style:none;z-index:-251660288;mso-width-relative:page;mso-height-relative:page;" fillcolor="#FFFFFF" filled="t" stroked="t" coordsize="21600,21600" wrapcoords="-217 -758 -217 21979 21817 21979 21817 -758 -217 -758" o:gfxdata="UEsDBAoAAAAAAIdO4kAAAAAAAAAAAAAAAAAEAAAAZHJzL1BLAwQUAAAACACHTuJA2jz+NNkAAAAI&#10;AQAADwAAAGRycy9kb3ducmV2LnhtbE2PMU/DMBCFdyT+g3VILIjaLrRBIU4HJIYuRbS0KpsbX5OI&#10;+BzFblP+PccE4+l9eve9YnHxnTjjENtABvREgUCqgmupNvCxeb1/AhGTJWe7QGjgGyMsyuurwuYu&#10;jPSO53WqBZdQzK2BJqU+lzJWDXobJ6FH4uwYBm8Tn0Mt3WBHLvednCo1l962xB8a2+NLg9XX+uQN&#10;7OOyzu5Wb8dx43erz/lSb2u/Neb2RqtnEAkv6Q+GX31Wh5KdDuFELorOQKYZNDCbTUFw/KAynnZg&#10;7lFrkGUh/w8ofwBQSwMEFAAAAAgAh07iQNAVdq77AQAAAwQAAA4AAABkcnMvZTJvRG9jLnhtbK1T&#10;S44TMRDdI3EHy3vSnZlkZmhNZyQIYYMAaeAAFX+6Lfkn25PuXABuwIoNe86Vc1B2PkyABUL0wl22&#10;y6+q3qu6vRuNJhsRonK2pdNJTYmwzHFlu5Z+/LB6dkNJTGA5aGdFS7ci0rvF0ye3g2/Eheud5iIQ&#10;BLGxGXxL+5R8U1WR9cJAnDgvLF5KFwwk3Iau4gEGRDe6uqjrq2pwgfvgmIgRT5f7S7oo+FIKlt5J&#10;GUUiuqWYWyprKOs6r9XiFpougO8VO6QB/5CFAWUx6AlqCQnIQ1C/QRnFgotOpglzpnJSKiZKDVjN&#10;tP6lmvsevCi1IDnRn2iK/w+Wvd28D0Txll5TYsGgRLsvn3dfv+++fSLXmZ7Bxwa97j36pfGFG1Hm&#10;43nEw1z1KIPJf6yH4D0SvT2RK8ZEWH70vJ5dXs0pYXg3n81naCN89fO1DzG9Fs6QbLQ0oHiFU9i8&#10;iWnvenTJwaLTiq+U1mUTuvVLHcgGUOhV+Q7oZ27akqGllzfTGnNkgA0nNSQ0jUcKou1KwLMn8Ry5&#10;xu9PyDmzJcR+n0FByG7QGJVEKFYvgL+ynKStR5otzgPN2RjBKdECxydbxTOB0n/jieRpm4OI0uoH&#10;mrJie2Wylcb1iKDZXDu+RRUHbPdj/AcfVNcj20XTKnthpxVZDlORW/nxHu3Hs7v4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o8/jTZAAAACAEAAA8AAAAAAAAAAQAgAAAAIgAAAGRycy9kb3ducmV2&#10;LnhtbFBLAQIUABQAAAAIAIdO4kDQFXau+wEAAAMEAAAOAAAAAAAAAAEAIAAAACgBAABkcnMvZTJv&#10;RG9jLnhtbFBLBQYAAAAABgAGAFkBAACVBQAAAAA=&#10;">
                <v:fill on="t" focussize="0,0"/>
                <v:stroke weight="3pt" color="#FF0000" joinstyle="miter"/>
                <v:imagedata o:title=""/>
                <o:lock v:ext="edit" aspectratio="f"/>
                <v:textbox>
                  <w:txbxContent>
                    <w:p>
                      <w:pPr>
                        <w:rPr>
                          <w:rFonts w:eastAsia="楷体_GB2312"/>
                          <w:b/>
                          <w:sz w:val="44"/>
                        </w:rPr>
                      </w:pPr>
                      <w:r>
                        <w:rPr>
                          <w:rFonts w:hint="eastAsia" w:eastAsia="楷体_GB2312"/>
                          <w:b/>
                          <w:sz w:val="44"/>
                        </w:rPr>
                        <w:t>金融运营动态</w:t>
                      </w:r>
                    </w:p>
                  </w:txbxContent>
                </v:textbox>
                <w10:wrap type="tight"/>
              </v:shap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0</wp:posOffset>
                </wp:positionV>
                <wp:extent cx="5600700" cy="0"/>
                <wp:effectExtent l="0" t="0" r="0" b="0"/>
                <wp:wrapNone/>
                <wp:docPr id="8" name="直接连接符 8"/>
                <wp:cNvGraphicFramePr/>
                <a:graphic xmlns:a="http://schemas.openxmlformats.org/drawingml/2006/main">
                  <a:graphicData uri="http://schemas.microsoft.com/office/word/2010/wordprocessingShape">
                    <wps:wsp>
                      <wps:cNvCnPr/>
                      <wps:spPr>
                        <a:xfrm>
                          <a:off x="0" y="0"/>
                          <a:ext cx="5600700" cy="0"/>
                        </a:xfrm>
                        <a:prstGeom prst="line">
                          <a:avLst/>
                        </a:prstGeom>
                        <a:ln w="17780"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pt;margin-top:0pt;height:0pt;width:441pt;z-index:251655168;mso-width-relative:page;mso-height-relative:page;" filled="f" stroked="t" coordsize="21600,21600" o:gfxdata="UEsDBAoAAAAAAIdO4kAAAAAAAAAAAAAAAAAEAAAAZHJzL1BLAwQUAAAACACHTuJAt9F/pdYAAAAF&#10;AQAADwAAAGRycy9kb3ducmV2LnhtbE2PzWrDMBCE74W+g9hCb4nsUIxxLedgCC2FHOr4kN4UayOb&#10;WCtjKT/t03dzai/LDrPMflOub24UF5zD4ElBukxAIHXeDGQVtLvNIgcRoiajR0+o4BsDrKvHh1IX&#10;xl/pEy9NtIJDKBRaQR/jVEgZuh6dDks/IbF39LPTkeVspZn1lcPdKFdJkkmnB+IPvZ6w7rE7NWen&#10;4Gu//bDprl0dfWu3Iavrt5/3RqnnpzR5BRHxFv+O4Y7P6FAx08GfyQQxKlikOXeJCniynWcvvBzu&#10;Ulal/E9f/QJQSwMEFAAAAAgAh07iQPiLK1HgAQAApQMAAA4AAABkcnMvZTJvRG9jLnhtbK1TS44T&#10;MRDdI3EHy3vSnZGYRK10ZjEhbBBEAg5Qsd3dlvyTy5NOLsEFkNjBiiV7bsNwDMpOJgwzG4TIwim7&#10;qp7rPb9eXO2tYTsVUXvX8umk5kw54aV2fcvfv1s/m3OGCZwE451q+UEhv1o+fbIYQ6Mu/OCNVJER&#10;iMNmDC0fUgpNVaEYlAWc+KAcJTsfLSTaxr6SEUZCt6a6qOvLavRRhuiFQqTT1THJlwW/65RIb7oO&#10;VWKm5TRbKmss6zav1XIBTR8hDFqcxoB/mMKCdnTpGWoFCdhN1I+grBbRo+/SRHhb+a7TQhUOxGZa&#10;P2DzdoCgChcSB8NZJvx/sOL1bhOZli2nh3Jg6YluP3778eHzz++faL39+oXNs0hjwIZqr90mnnYY&#10;NjEz3nfR5n/iwvZF2MNZWLVPTNDh88u6ntWkv7jLVb8bQ8T0UnnLctByo13mDA3sXmGiy6j0riQf&#10;G8dGctpsNs94QJ7pDCQKbSAW6PrSjN5oudbG5BaM/fbaRLYDcsF6XdMvcyLgP8ryLSvA4VhXUkd/&#10;DArkCydZOgTSx5GReZ7BKsmZUeT7HBEgNAm0+ZtKutq43KCKR09Es8hHWXO09fJAb3MTou4HEmZa&#10;Zs4Z8kKZ/uTbbLb7e4rvf13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fRf6XWAAAABQEAAA8A&#10;AAAAAAAAAQAgAAAAIgAAAGRycy9kb3ducmV2LnhtbFBLAQIUABQAAAAIAIdO4kD4iytR4AEAAKUD&#10;AAAOAAAAAAAAAAEAIAAAACUBAABkcnMvZTJvRG9jLnhtbFBLBQYAAAAABgAGAFkBAAB3BQAAAAA=&#10;">
                <v:fill on="f" focussize="0,0"/>
                <v:stroke weight="1.4pt" color="#FF0000" joinstyle="round"/>
                <v:imagedata o:title=""/>
                <o:lock v:ext="edit" aspectratio="f"/>
              </v:line>
            </w:pict>
          </mc:Fallback>
        </mc:AlternateContent>
      </w:r>
    </w:p>
    <w:p>
      <w:pPr>
        <w:snapToGrid w:val="0"/>
        <w:spacing w:line="360" w:lineRule="auto"/>
        <w:ind w:firstLine="640" w:firstLineChars="200"/>
        <w:rPr>
          <w:rFonts w:ascii="仿宋_GB2312" w:hAnsi="仿宋_GB2312" w:eastAsia="仿宋_GB2312" w:cs="仿宋_GB2312"/>
          <w:sz w:val="32"/>
          <w:szCs w:val="32"/>
        </w:rPr>
      </w:pPr>
    </w:p>
    <w:p>
      <w:pPr>
        <w:snapToGrid w:val="0"/>
        <w:spacing w:line="360" w:lineRule="auto"/>
        <w:ind w:firstLine="640" w:firstLineChars="200"/>
        <w:rPr>
          <w:rFonts w:ascii="仿宋_GB2312" w:hAnsi="仿宋_GB2312" w:eastAsia="仿宋_GB2312" w:cs="仿宋_GB2312"/>
          <w:sz w:val="32"/>
          <w:szCs w:val="32"/>
        </w:rPr>
      </w:pPr>
    </w:p>
    <w:p>
      <w:pPr>
        <w:pStyle w:val="2"/>
        <w:spacing w:line="360" w:lineRule="auto"/>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w:t>
      </w:r>
      <w:r>
        <w:rPr>
          <w:rFonts w:hint="eastAsia" w:ascii="仿宋_GB2312" w:hAnsi="仿宋_GB2312" w:eastAsia="仿宋_GB2312" w:cs="仿宋_GB2312"/>
          <w:sz w:val="32"/>
          <w:szCs w:val="32"/>
        </w:rPr>
        <w:t>月末，全县人民币各项存款</w:t>
      </w:r>
      <w:r>
        <w:rPr>
          <w:rFonts w:ascii="仿宋_GB2312" w:hAnsi="仿宋_GB2312" w:eastAsia="仿宋_GB2312" w:cs="仿宋_GB2312"/>
          <w:sz w:val="32"/>
          <w:szCs w:val="32"/>
        </w:rPr>
        <w:t>90.29</w:t>
      </w:r>
      <w:r>
        <w:rPr>
          <w:rFonts w:hint="eastAsia" w:ascii="仿宋_GB2312" w:hAnsi="仿宋_GB2312" w:eastAsia="仿宋_GB2312" w:cs="仿宋_GB2312"/>
          <w:sz w:val="32"/>
          <w:szCs w:val="32"/>
        </w:rPr>
        <w:t>亿元，比上月增加</w:t>
      </w:r>
      <w:r>
        <w:rPr>
          <w:rFonts w:ascii="仿宋_GB2312" w:hAnsi="仿宋_GB2312" w:eastAsia="仿宋_GB2312" w:cs="仿宋_GB2312"/>
          <w:sz w:val="32"/>
          <w:szCs w:val="32"/>
        </w:rPr>
        <w:t>2160</w:t>
      </w:r>
      <w:r>
        <w:rPr>
          <w:rFonts w:hint="eastAsia" w:ascii="仿宋_GB2312" w:hAnsi="仿宋_GB2312" w:eastAsia="仿宋_GB2312" w:cs="仿宋_GB2312"/>
          <w:sz w:val="32"/>
          <w:szCs w:val="32"/>
        </w:rPr>
        <w:t>万元，余额同比增加</w:t>
      </w:r>
      <w:r>
        <w:rPr>
          <w:rFonts w:ascii="仿宋_GB2312" w:hAnsi="仿宋_GB2312" w:eastAsia="仿宋_GB2312" w:cs="仿宋_GB2312"/>
          <w:sz w:val="32"/>
          <w:szCs w:val="32"/>
        </w:rPr>
        <w:t>5.38</w:t>
      </w:r>
      <w:r>
        <w:rPr>
          <w:rFonts w:hint="eastAsia" w:ascii="仿宋_GB2312" w:hAnsi="仿宋_GB2312" w:eastAsia="仿宋_GB2312" w:cs="仿宋_GB2312"/>
          <w:sz w:val="32"/>
          <w:szCs w:val="32"/>
        </w:rPr>
        <w:t>亿元、增速</w:t>
      </w:r>
      <w:r>
        <w:rPr>
          <w:rFonts w:ascii="仿宋_GB2312" w:hAnsi="仿宋_GB2312" w:eastAsia="仿宋_GB2312" w:cs="仿宋_GB2312"/>
          <w:sz w:val="32"/>
          <w:szCs w:val="32"/>
        </w:rPr>
        <w:t>6.34%</w:t>
      </w:r>
      <w:r>
        <w:rPr>
          <w:rFonts w:hint="eastAsia" w:ascii="仿宋_GB2312" w:hAnsi="仿宋_GB2312" w:eastAsia="仿宋_GB2312" w:cs="仿宋_GB2312"/>
          <w:sz w:val="32"/>
          <w:szCs w:val="32"/>
        </w:rPr>
        <w:t>。人民币各项贷款</w:t>
      </w:r>
      <w:r>
        <w:rPr>
          <w:rFonts w:ascii="仿宋_GB2312" w:hAnsi="仿宋_GB2312" w:eastAsia="仿宋_GB2312" w:cs="仿宋_GB2312"/>
          <w:sz w:val="32"/>
          <w:szCs w:val="32"/>
        </w:rPr>
        <w:t>61.13</w:t>
      </w:r>
      <w:r>
        <w:rPr>
          <w:rFonts w:hint="eastAsia" w:ascii="仿宋_GB2312" w:hAnsi="仿宋_GB2312" w:eastAsia="仿宋_GB2312" w:cs="仿宋_GB2312"/>
          <w:sz w:val="32"/>
          <w:szCs w:val="32"/>
        </w:rPr>
        <w:t>亿元，比上月减少</w:t>
      </w:r>
      <w:r>
        <w:rPr>
          <w:rFonts w:ascii="仿宋_GB2312" w:hAnsi="仿宋_GB2312" w:eastAsia="仿宋_GB2312" w:cs="仿宋_GB2312"/>
          <w:sz w:val="32"/>
          <w:szCs w:val="32"/>
        </w:rPr>
        <w:t>1989</w:t>
      </w:r>
      <w:r>
        <w:rPr>
          <w:rFonts w:hint="eastAsia" w:ascii="仿宋_GB2312" w:hAnsi="仿宋_GB2312" w:eastAsia="仿宋_GB2312" w:cs="仿宋_GB2312"/>
          <w:sz w:val="32"/>
          <w:szCs w:val="32"/>
        </w:rPr>
        <w:t>万元，余额同比增长</w:t>
      </w:r>
      <w:r>
        <w:rPr>
          <w:rFonts w:ascii="仿宋_GB2312" w:hAnsi="仿宋_GB2312" w:eastAsia="仿宋_GB2312" w:cs="仿宋_GB2312"/>
          <w:sz w:val="32"/>
          <w:szCs w:val="32"/>
        </w:rPr>
        <w:t>9.00</w:t>
      </w:r>
      <w:r>
        <w:rPr>
          <w:rFonts w:hint="eastAsia" w:ascii="仿宋_GB2312" w:hAnsi="仿宋_GB2312" w:eastAsia="仿宋_GB2312" w:cs="仿宋_GB2312"/>
          <w:sz w:val="32"/>
          <w:szCs w:val="32"/>
        </w:rPr>
        <w:t>亿元、增速</w:t>
      </w:r>
      <w:r>
        <w:rPr>
          <w:rFonts w:ascii="仿宋_GB2312" w:hAnsi="仿宋_GB2312" w:eastAsia="仿宋_GB2312" w:cs="仿宋_GB2312"/>
          <w:sz w:val="32"/>
          <w:szCs w:val="32"/>
        </w:rPr>
        <w:t>17.26%</w:t>
      </w:r>
      <w:r>
        <w:rPr>
          <w:rFonts w:hint="eastAsia" w:ascii="仿宋_GB2312" w:hAnsi="仿宋_GB2312" w:eastAsia="仿宋_GB2312" w:cs="仿宋_GB2312"/>
          <w:sz w:val="32"/>
          <w:szCs w:val="32"/>
        </w:rPr>
        <w:t>。我县存贷款余额加权平均增长速度</w:t>
      </w:r>
      <w:r>
        <w:rPr>
          <w:rFonts w:ascii="仿宋_GB2312" w:hAnsi="仿宋_GB2312" w:eastAsia="仿宋_GB2312" w:cs="仿宋_GB2312"/>
          <w:sz w:val="32"/>
          <w:szCs w:val="32"/>
        </w:rPr>
        <w:t>10.74%</w:t>
      </w:r>
      <w:r>
        <w:rPr>
          <w:rFonts w:hint="eastAsia" w:ascii="仿宋_GB2312" w:hAnsi="仿宋_GB2312" w:eastAsia="仿宋_GB2312" w:cs="仿宋_GB2312"/>
          <w:sz w:val="32"/>
          <w:szCs w:val="32"/>
        </w:rPr>
        <w:t>，较上月增加</w:t>
      </w:r>
      <w:r>
        <w:rPr>
          <w:rFonts w:ascii="仿宋_GB2312" w:hAnsi="仿宋_GB2312" w:eastAsia="仿宋_GB2312" w:cs="仿宋_GB2312"/>
          <w:sz w:val="32"/>
          <w:szCs w:val="32"/>
        </w:rPr>
        <w:t>0.02</w:t>
      </w:r>
      <w:r>
        <w:rPr>
          <w:rFonts w:hint="eastAsia" w:ascii="仿宋_GB2312" w:hAnsi="仿宋_GB2312" w:eastAsia="仿宋_GB2312" w:cs="仿宋_GB2312"/>
          <w:sz w:val="32"/>
          <w:szCs w:val="32"/>
        </w:rPr>
        <w:t>个百分点。</w:t>
      </w:r>
    </w:p>
    <w:p>
      <w:pPr>
        <w:pStyle w:val="2"/>
        <w:spacing w:line="360" w:lineRule="auto"/>
        <w:ind w:firstLine="360" w:firstLineChars="200"/>
        <w:rPr>
          <w:rFonts w:ascii="仿宋_GB2312" w:hAnsi="仿宋_GB2312" w:eastAsia="仿宋_GB2312" w:cs="仿宋_GB2312"/>
          <w:sz w:val="32"/>
          <w:szCs w:val="32"/>
        </w:rPr>
      </w:pPr>
      <w:r>
        <mc:AlternateContent>
          <mc:Choice Requires="wps">
            <w:drawing>
              <wp:anchor distT="0" distB="0" distL="114300" distR="114300" simplePos="0" relativeHeight="251659264" behindDoc="1" locked="0" layoutInCell="1" allowOverlap="1">
                <wp:simplePos x="0" y="0"/>
                <wp:positionH relativeFrom="column">
                  <wp:posOffset>26035</wp:posOffset>
                </wp:positionH>
                <wp:positionV relativeFrom="paragraph">
                  <wp:posOffset>267335</wp:posOffset>
                </wp:positionV>
                <wp:extent cx="1904365" cy="530860"/>
                <wp:effectExtent l="19050" t="19050" r="19685" b="21590"/>
                <wp:wrapTight wrapText="bothSides">
                  <wp:wrapPolygon>
                    <wp:start x="-217" y="-771"/>
                    <wp:lineTo x="-217" y="21986"/>
                    <wp:lineTo x="21817" y="21986"/>
                    <wp:lineTo x="21817" y="-771"/>
                    <wp:lineTo x="-217" y="-771"/>
                  </wp:wrapPolygon>
                </wp:wrapTight>
                <wp:docPr id="10" name="文本框 10"/>
                <wp:cNvGraphicFramePr/>
                <a:graphic xmlns:a="http://schemas.openxmlformats.org/drawingml/2006/main">
                  <a:graphicData uri="http://schemas.microsoft.com/office/word/2010/wordprocessingShape">
                    <wps:wsp>
                      <wps:cNvSpPr txBox="1"/>
                      <wps:spPr>
                        <a:xfrm flipV="1">
                          <a:off x="0" y="0"/>
                          <a:ext cx="1904365" cy="530860"/>
                        </a:xfrm>
                        <a:prstGeom prst="rect">
                          <a:avLst/>
                        </a:prstGeom>
                        <a:solidFill>
                          <a:srgbClr val="FFFFFF"/>
                        </a:solidFill>
                        <a:ln w="38100" cap="flat" cmpd="sng">
                          <a:solidFill>
                            <a:srgbClr val="FF0000"/>
                          </a:solidFill>
                          <a:prstDash val="solid"/>
                          <a:miter/>
                          <a:headEnd type="none" w="med" len="med"/>
                          <a:tailEnd type="none" w="med" len="med"/>
                        </a:ln>
                        <a:effectLst/>
                      </wps:spPr>
                      <wps:txbx>
                        <w:txbxContent>
                          <w:p>
                            <w:pPr>
                              <w:rPr>
                                <w:rFonts w:eastAsia="楷体_GB2312"/>
                                <w:b/>
                                <w:sz w:val="44"/>
                              </w:rPr>
                            </w:pPr>
                            <w:r>
                              <w:rPr>
                                <w:rFonts w:hint="eastAsia" w:eastAsia="楷体_GB2312"/>
                                <w:b/>
                                <w:sz w:val="44"/>
                              </w:rPr>
                              <w:t>金融服务专栏</w:t>
                            </w:r>
                          </w:p>
                        </w:txbxContent>
                      </wps:txbx>
                      <wps:bodyPr wrap="none" upright="1">
                        <a:noAutofit/>
                      </wps:bodyPr>
                    </wps:wsp>
                  </a:graphicData>
                </a:graphic>
              </wp:anchor>
            </w:drawing>
          </mc:Choice>
          <mc:Fallback>
            <w:pict>
              <v:shape id="_x0000_s1026" o:spid="_x0000_s1026" o:spt="202" type="#_x0000_t202" style="position:absolute;left:0pt;flip:y;margin-left:2.05pt;margin-top:21.05pt;height:41.8pt;width:149.95pt;mso-wrap-distance-left:9pt;mso-wrap-distance-right:9pt;mso-wrap-style:none;z-index:-251657216;mso-width-relative:page;mso-height-relative:page;" fillcolor="#FFFFFF" filled="t" stroked="t" coordsize="21600,21600" wrapcoords="-217 -771 -217 21986 21817 21986 21817 -771 -217 -771" o:gfxdata="UEsDBAoAAAAAAIdO4kAAAAAAAAAAAAAAAAAEAAAAZHJzL1BLAwQUAAAACACHTuJAea81CtYAAAAI&#10;AQAADwAAAGRycy9kb3ducmV2LnhtbE2PO0/EMBCEeyT+g7VIdJwfHHcQ4lyBBBKiIgcSpRMvSSBe&#10;R7HvAb+epYJqtJrR7Dfl5hhGscc5DZEs6IUCgdRGP1Bn4WV7f3ENImVH3o2R0MIXJthUpyelK3w8&#10;0DPu69wJLqFUOAt9zlMhZWp7DC4t4oTE3nucg8t8zp30sztweRilUWolgxuIP/Ruwrse2896FyyY&#10;1cPbtjEfunWv3zfrPExPun609vxMq1sQGY/5Lwy/+IwOFTM1cUc+idHCUnOQxbCyfamWPK3hnLla&#10;g6xK+X9A9QNQSwMEFAAAAAgAh07iQPzZ7NIPAgAAKQQAAA4AAABkcnMvZTJvRG9jLnhtbK1TS44T&#10;MRDdI3EHy3vSnQkThVY6IyCEDQKkYWZfcdvdlvyT7aQ7F4AbsGLDfs6Vc1B2PkOABUJ4YZXLr15V&#10;vbLnN4NWZMt9kNbUdDwqKeGG2UaatqZ3n1bPZpSECKYBZQ2v6Y4HerN4+mTeu4pf2c6qhnuCJCZU&#10;vatpF6OriiKwjmsII+u4wUthvYaIR98WjYce2bUqrspyWvTWN85bxkNA7/JwSReZXwjO4gchAo9E&#10;1RRri3n3eV+nvVjMoWo9uE6yYxnwD1VokAaTnqmWEIFsvPyNSkvmbbAijpjVhRVCMp57wG7G5S/d&#10;3HbgeO4FxQnuLFP4f7Ts/fajJ7LB2aE8BjTOaP/1y/7bw/77Z4I+FKh3oULcrUNkHF7ZAcEnf0Bn&#10;6nsQXhOhpLtPl8mDvRFEIuvuLDQfImEp/EX5fDK9poTh3fWknE1zouLAk6KdD/Ett5oko6YeB5lZ&#10;YfsuRKwJoSdIggerZLOSSuWDb9evlSdbwKGv8krlYsgFTBnS13QyG5dYIwN8fEJBRFM7lCOYNie8&#10;CAmXzCWuPzGnypYQukMFmSHBoNIycp+tjkPzxjQk7hwqbvBv0FSN5g0liuNXSlZGRpDqb5DYnjIp&#10;Cc/P/ihTmt1hRsmKw3pA0mSubbPDefb49E/5N87LtkO1DwM09uUmWiGz3I8hKGQ64HvMkh7/Tnrw&#10;P58z6vGHL3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a81CtYAAAAIAQAADwAAAAAAAAABACAA&#10;AAAiAAAAZHJzL2Rvd25yZXYueG1sUEsBAhQAFAAAAAgAh07iQPzZ7NIPAgAAKQQAAA4AAAAAAAAA&#10;AQAgAAAAJQEAAGRycy9lMm9Eb2MueG1sUEsFBgAAAAAGAAYAWQEAAKYFAAAAAA==&#10;">
                <v:fill on="t" focussize="0,0"/>
                <v:stroke weight="3pt" color="#FF0000" joinstyle="miter"/>
                <v:imagedata o:title=""/>
                <o:lock v:ext="edit" aspectratio="f"/>
                <v:textbox>
                  <w:txbxContent>
                    <w:p>
                      <w:pPr>
                        <w:rPr>
                          <w:rFonts w:eastAsia="楷体_GB2312"/>
                          <w:b/>
                          <w:sz w:val="44"/>
                        </w:rPr>
                      </w:pPr>
                      <w:r>
                        <w:rPr>
                          <w:rFonts w:hint="eastAsia" w:eastAsia="楷体_GB2312"/>
                          <w:b/>
                          <w:sz w:val="44"/>
                        </w:rPr>
                        <w:t>金融服务专栏</w:t>
                      </w:r>
                    </w:p>
                  </w:txbxContent>
                </v:textbox>
                <w10:wrap type="tight"/>
              </v:shape>
            </w:pict>
          </mc:Fallback>
        </mc:AlternateContent>
      </w:r>
    </w:p>
    <w:p>
      <w:pPr>
        <w:pStyle w:val="2"/>
        <w:spacing w:line="360" w:lineRule="auto"/>
        <w:ind w:firstLine="640" w:firstLineChars="200"/>
        <w:rPr>
          <w:rFonts w:ascii="仿宋_GB2312" w:hAnsi="仿宋_GB2312" w:eastAsia="仿宋_GB2312" w:cs="仿宋_GB2312"/>
          <w:sz w:val="32"/>
          <w:szCs w:val="32"/>
        </w:rPr>
      </w:pPr>
    </w:p>
    <w:p>
      <w:pPr>
        <w:rPr>
          <w:rFonts w:ascii="仿宋_GB2312" w:hAnsi="仿宋_GB2312" w:eastAsia="仿宋_GB2312" w:cs="仿宋_GB2312"/>
          <w:sz w:val="32"/>
          <w:szCs w:val="32"/>
        </w:rPr>
      </w:pPr>
    </w:p>
    <w:p>
      <w:pPr>
        <w:spacing w:line="360" w:lineRule="auto"/>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22</w:t>
      </w:r>
      <w:r>
        <w:rPr>
          <w:rFonts w:hint="eastAsia" w:ascii="仿宋_GB2312" w:hAnsi="仿宋_GB2312" w:eastAsia="仿宋_GB2312" w:cs="仿宋_GB2312"/>
          <w:sz w:val="32"/>
          <w:szCs w:val="32"/>
        </w:rPr>
        <w:t>日《安徽省人民政府督查室关于落实加强疫情防控加快推进企业复工复产有关政策措施任务分解的通知》皖政督办〔</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3001</w:t>
      </w:r>
      <w:r>
        <w:rPr>
          <w:rFonts w:hint="eastAsia" w:ascii="仿宋_GB2312" w:hAnsi="仿宋_GB2312" w:eastAsia="仿宋_GB2312" w:cs="仿宋_GB2312"/>
          <w:sz w:val="32"/>
          <w:szCs w:val="32"/>
        </w:rPr>
        <w:t>号文件提出将“税融通”业务支持对象从纳税信用</w:t>
      </w:r>
      <w:r>
        <w:rPr>
          <w:rFonts w:ascii="仿宋_GB2312" w:hAnsi="仿宋_GB2312" w:eastAsia="仿宋_GB2312" w:cs="仿宋_GB2312"/>
          <w:sz w:val="32"/>
          <w:szCs w:val="32"/>
        </w:rPr>
        <w:t>A</w:t>
      </w:r>
      <w:r>
        <w:rPr>
          <w:rFonts w:hint="eastAsia" w:ascii="仿宋_GB2312" w:hAnsi="仿宋_GB2312" w:eastAsia="仿宋_GB2312" w:cs="仿宋_GB2312"/>
          <w:sz w:val="32"/>
          <w:szCs w:val="32"/>
        </w:rPr>
        <w:t>级和</w:t>
      </w:r>
      <w:r>
        <w:rPr>
          <w:rFonts w:ascii="仿宋_GB2312" w:hAnsi="仿宋_GB2312" w:eastAsia="仿宋_GB2312" w:cs="仿宋_GB2312"/>
          <w:sz w:val="32"/>
          <w:szCs w:val="32"/>
        </w:rPr>
        <w:t>B</w:t>
      </w:r>
      <w:r>
        <w:rPr>
          <w:rFonts w:hint="eastAsia" w:ascii="仿宋_GB2312" w:hAnsi="仿宋_GB2312" w:eastAsia="仿宋_GB2312" w:cs="仿宋_GB2312"/>
          <w:sz w:val="32"/>
          <w:szCs w:val="32"/>
        </w:rPr>
        <w:t>级企业扩大到</w:t>
      </w:r>
      <w:r>
        <w:rPr>
          <w:rFonts w:ascii="仿宋_GB2312" w:hAnsi="仿宋_GB2312" w:eastAsia="仿宋_GB2312" w:cs="仿宋_GB2312"/>
          <w:sz w:val="32"/>
          <w:szCs w:val="32"/>
        </w:rPr>
        <w:t>M</w:t>
      </w:r>
      <w:r>
        <w:rPr>
          <w:rFonts w:hint="eastAsia" w:ascii="仿宋_GB2312" w:hAnsi="仿宋_GB2312" w:eastAsia="仿宋_GB2312" w:cs="仿宋_GB2312"/>
          <w:sz w:val="32"/>
          <w:szCs w:val="32"/>
        </w:rPr>
        <w:t>级，</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年累计投放额</w:t>
      </w:r>
      <w:r>
        <w:rPr>
          <w:rFonts w:ascii="仿宋_GB2312" w:hAnsi="仿宋_GB2312" w:eastAsia="仿宋_GB2312" w:cs="仿宋_GB2312"/>
          <w:sz w:val="32"/>
          <w:szCs w:val="32"/>
        </w:rPr>
        <w:t>200</w:t>
      </w:r>
      <w:r>
        <w:rPr>
          <w:rFonts w:hint="eastAsia" w:ascii="仿宋_GB2312" w:hAnsi="仿宋_GB2312" w:eastAsia="仿宋_GB2312" w:cs="仿宋_GB2312"/>
          <w:sz w:val="32"/>
          <w:szCs w:val="32"/>
        </w:rPr>
        <w:t>亿元以上。县金融监管局立即行动，贯彻落实文件精神，引导兴业担保公司、各银行业金融机构加大信贷投放力度，大力支持信用评级良好的优质企业办理“税融通”业务，解决企业融资难问题。</w:t>
      </w:r>
    </w:p>
    <w:p>
      <w:pPr>
        <w:spacing w:line="360" w:lineRule="auto"/>
        <w:ind w:firstLine="640" w:firstLineChars="200"/>
        <w:rPr>
          <w:rFonts w:ascii="仿宋_GB2312" w:hAnsi="Calibri" w:eastAsia="仿宋_GB2312" w:cs="宋体"/>
          <w:color w:val="000000"/>
          <w:kern w:val="0"/>
          <w:sz w:val="32"/>
          <w:szCs w:val="32"/>
        </w:rPr>
      </w:pPr>
      <w:r>
        <w:rPr>
          <w:rFonts w:hint="eastAsia" w:ascii="仿宋_GB2312" w:hAnsi="仿宋_GB2312" w:eastAsia="仿宋_GB2312" w:cs="仿宋_GB2312"/>
          <w:sz w:val="32"/>
          <w:szCs w:val="32"/>
        </w:rPr>
        <w:t>县金融监管局与兴业融资担保公司、各金融机构相互协调配合，积极走访受困企业，结合企业实际情况提供专业性的建议。截止目前，新增“税融通”已完成</w:t>
      </w:r>
      <w:r>
        <w:rPr>
          <w:rFonts w:ascii="仿宋_GB2312" w:hAnsi="Calibri" w:eastAsia="仿宋_GB2312" w:cs="宋体"/>
          <w:color w:val="000000"/>
          <w:kern w:val="0"/>
          <w:sz w:val="32"/>
          <w:szCs w:val="32"/>
        </w:rPr>
        <w:t>6031</w:t>
      </w:r>
      <w:r>
        <w:rPr>
          <w:rFonts w:hint="eastAsia" w:ascii="仿宋_GB2312" w:hAnsi="Calibri" w:eastAsia="仿宋_GB2312" w:cs="宋体"/>
          <w:color w:val="000000"/>
          <w:kern w:val="0"/>
          <w:sz w:val="32"/>
          <w:szCs w:val="32"/>
        </w:rPr>
        <w:t>万元，完成进度</w:t>
      </w:r>
      <w:r>
        <w:rPr>
          <w:rFonts w:ascii="仿宋_GB2312" w:hAnsi="Calibri" w:eastAsia="仿宋_GB2312" w:cs="宋体"/>
          <w:color w:val="000000"/>
          <w:kern w:val="0"/>
          <w:sz w:val="32"/>
          <w:szCs w:val="32"/>
        </w:rPr>
        <w:t>120%</w:t>
      </w:r>
      <w:r>
        <w:rPr>
          <w:rFonts w:hint="eastAsia" w:ascii="仿宋_GB2312" w:hAnsi="Calibri" w:eastAsia="仿宋_GB2312" w:cs="宋体"/>
          <w:color w:val="000000"/>
          <w:kern w:val="0"/>
          <w:sz w:val="32"/>
          <w:szCs w:val="32"/>
        </w:rPr>
        <w:t>（其中兴业担保公司</w:t>
      </w:r>
      <w:r>
        <w:rPr>
          <w:rFonts w:ascii="仿宋_GB2312" w:hAnsi="Calibri" w:eastAsia="仿宋_GB2312" w:cs="宋体"/>
          <w:color w:val="000000"/>
          <w:kern w:val="0"/>
          <w:sz w:val="32"/>
          <w:szCs w:val="32"/>
        </w:rPr>
        <w:t>3409</w:t>
      </w:r>
      <w:r>
        <w:rPr>
          <w:rFonts w:hint="eastAsia" w:ascii="仿宋_GB2312" w:hAnsi="Calibri" w:eastAsia="仿宋_GB2312" w:cs="宋体"/>
          <w:color w:val="000000"/>
          <w:kern w:val="0"/>
          <w:sz w:val="32"/>
          <w:szCs w:val="32"/>
        </w:rPr>
        <w:t>万元、线上税融通</w:t>
      </w:r>
      <w:r>
        <w:rPr>
          <w:rFonts w:ascii="仿宋_GB2312" w:hAnsi="Calibri" w:eastAsia="仿宋_GB2312" w:cs="宋体"/>
          <w:color w:val="000000"/>
          <w:kern w:val="0"/>
          <w:sz w:val="32"/>
          <w:szCs w:val="32"/>
        </w:rPr>
        <w:t>2622</w:t>
      </w:r>
      <w:r>
        <w:rPr>
          <w:rFonts w:hint="eastAsia" w:ascii="仿宋_GB2312" w:hAnsi="Calibri" w:eastAsia="仿宋_GB2312" w:cs="宋体"/>
          <w:color w:val="000000"/>
          <w:kern w:val="0"/>
          <w:sz w:val="32"/>
          <w:szCs w:val="32"/>
        </w:rPr>
        <w:t>万元）。</w:t>
      </w:r>
    </w:p>
    <w:p>
      <w:pPr>
        <w:spacing w:line="360" w:lineRule="auto"/>
        <w:ind w:firstLine="420" w:firstLineChars="200"/>
        <w:rPr>
          <w:rFonts w:ascii="仿宋_GB2312" w:hAnsi="仿宋_GB2312" w:eastAsia="仿宋_GB2312" w:cs="仿宋_GB2312"/>
          <w:sz w:val="32"/>
          <w:szCs w:val="32"/>
        </w:rPr>
      </w:pPr>
      <w:r>
        <mc:AlternateContent>
          <mc:Choice Requires="wps">
            <w:drawing>
              <wp:anchor distT="0" distB="0" distL="114300" distR="114300" simplePos="0" relativeHeight="251658240" behindDoc="0" locked="0" layoutInCell="1" allowOverlap="1">
                <wp:simplePos x="0" y="0"/>
                <wp:positionH relativeFrom="column">
                  <wp:posOffset>89535</wp:posOffset>
                </wp:positionH>
                <wp:positionV relativeFrom="paragraph">
                  <wp:posOffset>247015</wp:posOffset>
                </wp:positionV>
                <wp:extent cx="1943100" cy="501650"/>
                <wp:effectExtent l="19050" t="19050" r="19050" b="31750"/>
                <wp:wrapNone/>
                <wp:docPr id="9" name="文本框 5"/>
                <wp:cNvGraphicFramePr/>
                <a:graphic xmlns:a="http://schemas.openxmlformats.org/drawingml/2006/main">
                  <a:graphicData uri="http://schemas.microsoft.com/office/word/2010/wordprocessingShape">
                    <wps:wsp>
                      <wps:cNvSpPr txBox="1"/>
                      <wps:spPr>
                        <a:xfrm>
                          <a:off x="0" y="0"/>
                          <a:ext cx="1943100" cy="501650"/>
                        </a:xfrm>
                        <a:prstGeom prst="rect">
                          <a:avLst/>
                        </a:prstGeom>
                        <a:solidFill>
                          <a:srgbClr val="FFFFFF"/>
                        </a:solidFill>
                        <a:ln w="38100" cap="flat" cmpd="sng">
                          <a:solidFill>
                            <a:srgbClr val="FF0000"/>
                          </a:solidFill>
                          <a:prstDash val="solid"/>
                          <a:miter/>
                          <a:headEnd type="none" w="med" len="med"/>
                          <a:tailEnd type="none" w="med" len="med"/>
                        </a:ln>
                        <a:effectLst/>
                      </wps:spPr>
                      <wps:txbx>
                        <w:txbxContent>
                          <w:p>
                            <w:pPr>
                              <w:rPr>
                                <w:rFonts w:eastAsia="楷体_GB2312"/>
                                <w:b/>
                                <w:sz w:val="44"/>
                              </w:rPr>
                            </w:pPr>
                            <w:r>
                              <w:rPr>
                                <w:rFonts w:hint="eastAsia" w:eastAsia="楷体_GB2312"/>
                                <w:b/>
                                <w:sz w:val="44"/>
                              </w:rPr>
                              <w:t>金融宣传专栏</w:t>
                            </w:r>
                          </w:p>
                        </w:txbxContent>
                      </wps:txbx>
                      <wps:bodyPr upright="1"/>
                    </wps:wsp>
                  </a:graphicData>
                </a:graphic>
              </wp:anchor>
            </w:drawing>
          </mc:Choice>
          <mc:Fallback>
            <w:pict>
              <v:shape id="文本框 5" o:spid="_x0000_s1026" o:spt="202" type="#_x0000_t202" style="position:absolute;left:0pt;margin-left:7.05pt;margin-top:19.45pt;height:39.5pt;width:153pt;z-index:251658240;mso-width-relative:page;mso-height-relative:page;" fillcolor="#FFFFFF" filled="t" stroked="t" coordsize="21600,21600" o:gfxdata="UEsDBAoAAAAAAIdO4kAAAAAAAAAAAAAAAAAEAAAAZHJzL1BLAwQUAAAACACHTuJAd1OqTNYAAAAJ&#10;AQAADwAAAGRycy9kb3ducmV2LnhtbE2PzU7DMBCE70i8g7WVuFE7LbRJGqdCSJwQQjRcuG3jJYka&#10;25Ht/vD2LCd6nP1GszPV9mJHcaIQB+80ZHMFglzrzeA6DZ/Ny30OIiZ0BkfvSMMPRdjWtzcVlsaf&#10;3QeddqkTHOJiiRr6lKZSytj2ZDHO/USO2bcPFhPL0EkT8MzhdpQLpVbS4uD4Q48TPffUHnZHq+Ht&#10;qWgDhvw10foxvK+aKWsOX1rfzTK1AZHokv7N8Fefq0PNnfb+6EwUI+uHjJ0alnkBgvlyofiwZ5Ct&#10;C5B1Ja8X1L9QSwMEFAAAAAgAh07iQNd8h0X3AQAA9wMAAA4AAABkcnMvZTJvRG9jLnhtbK1TzW4T&#10;MRC+I/UdLN+b3bSkalfZVIIQLgiQCg8w8c+uJf/JdrObF4A34MSFO8+V52DspKGBHirEHrxjz/ib&#10;b74Zz29Ho8lGhKicbel0UlMiLHNc2a6lnz+tzq8piQksB+2saOlWRHq7OHsxH3wjLlzvNBeBIIiN&#10;zeBb2qfkm6qKrBcG4sR5YdEpXTCQcBu6igcYEN3o6qKur6rBBe6DYyJGPF3unXRR8KUULH2QMopE&#10;dEuRWyprKOs6r9ViDk0XwPeKHWjAP7AwoCwmPUItIQG5D+ovKKNYcNHJNGHOVE5KxUSpAauZ1n9U&#10;c9eDF6UWFCf6o0zx/8Gy95uPgSje0htKLBhs0e7b1933n7sfX8gsyzP42GDUnce4NL5yI7b54Tzi&#10;Ya56lMHkP9ZD0I9Cb4/iijERli/dvLyc1uhi6JvV06tZUb/6fduHmN4KZ0g2WhqweUVT2LyLCZlg&#10;6ENIThadVnyltC6b0K1f60A2gI1elS+TxCsnYdqSoaWX13sigAMnNSTkZDxKEG1XEp5ciafINX5P&#10;IWdmS4j9nkFByGHQGJVEKFYvgL+xnKStR5ktvgea2RjBKdECn0+2SmQCpZ8TieVpm5OIMuoHmXLH&#10;9p3JVhrXI4Jmc+34Frt474PqelS49LHKHpyuItbhJeTxfbxH+/F7Xf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1OqTNYAAAAJAQAADwAAAAAAAAABACAAAAAiAAAAZHJzL2Rvd25yZXYueG1sUEsB&#10;AhQAFAAAAAgAh07iQNd8h0X3AQAA9wMAAA4AAAAAAAAAAQAgAAAAJQEAAGRycy9lMm9Eb2MueG1s&#10;UEsFBgAAAAAGAAYAWQEAAI4FAAAAAA==&#10;">
                <v:fill on="t" focussize="0,0"/>
                <v:stroke weight="3pt" color="#FF0000" joinstyle="miter"/>
                <v:imagedata o:title=""/>
                <o:lock v:ext="edit" aspectratio="f"/>
                <v:textbox>
                  <w:txbxContent>
                    <w:p>
                      <w:pPr>
                        <w:rPr>
                          <w:rFonts w:eastAsia="楷体_GB2312"/>
                          <w:b/>
                          <w:sz w:val="44"/>
                        </w:rPr>
                      </w:pPr>
                      <w:r>
                        <w:rPr>
                          <w:rFonts w:hint="eastAsia" w:eastAsia="楷体_GB2312"/>
                          <w:b/>
                          <w:sz w:val="44"/>
                        </w:rPr>
                        <w:t>金融宣传专栏</w:t>
                      </w:r>
                    </w:p>
                  </w:txbxContent>
                </v:textbox>
              </v:shape>
            </w:pict>
          </mc:Fallback>
        </mc:AlternateContent>
      </w:r>
    </w:p>
    <w:p>
      <w:pPr>
        <w:pStyle w:val="2"/>
        <w:spacing w:line="360" w:lineRule="auto"/>
        <w:ind w:firstLine="640" w:firstLineChars="200"/>
        <w:rPr>
          <w:rFonts w:ascii="仿宋_GB2312" w:hAnsi="仿宋_GB2312" w:eastAsia="仿宋_GB2312" w:cs="仿宋_GB2312"/>
          <w:bCs/>
          <w:sz w:val="32"/>
          <w:szCs w:val="32"/>
        </w:rPr>
      </w:pPr>
    </w:p>
    <w:p>
      <w:pPr>
        <w:pStyle w:val="2"/>
        <w:spacing w:line="360" w:lineRule="auto"/>
        <w:ind w:firstLine="360" w:firstLineChars="200"/>
        <w:rPr>
          <w:rFonts w:ascii="仿宋" w:hAnsi="仿宋" w:eastAsia="仿宋" w:cs="仿宋"/>
          <w:sz w:val="30"/>
          <w:szCs w:val="30"/>
        </w:rPr>
      </w:pPr>
      <w:r>
        <w:drawing>
          <wp:anchor distT="0" distB="0" distL="114300" distR="114300" simplePos="0" relativeHeight="251660288" behindDoc="0" locked="0" layoutInCell="1" allowOverlap="1">
            <wp:simplePos x="0" y="0"/>
            <wp:positionH relativeFrom="column">
              <wp:posOffset>66675</wp:posOffset>
            </wp:positionH>
            <wp:positionV relativeFrom="paragraph">
              <wp:posOffset>332740</wp:posOffset>
            </wp:positionV>
            <wp:extent cx="3551555" cy="2362200"/>
            <wp:effectExtent l="0" t="0" r="10795" b="0"/>
            <wp:wrapSquare wrapText="bothSides"/>
            <wp:docPr id="1"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2"/>
                    <pic:cNvPicPr>
                      <a:picLocks noChangeAspect="1"/>
                    </pic:cNvPicPr>
                  </pic:nvPicPr>
                  <pic:blipFill>
                    <a:blip r:embed="rId10"/>
                    <a:stretch>
                      <a:fillRect/>
                    </a:stretch>
                  </pic:blipFill>
                  <pic:spPr>
                    <a:xfrm>
                      <a:off x="0" y="0"/>
                      <a:ext cx="3551555" cy="2362200"/>
                    </a:xfrm>
                    <a:prstGeom prst="rect">
                      <a:avLst/>
                    </a:prstGeom>
                    <a:noFill/>
                    <a:ln>
                      <a:noFill/>
                    </a:ln>
                  </pic:spPr>
                </pic:pic>
              </a:graphicData>
            </a:graphic>
          </wp:anchor>
        </w:drawing>
      </w:r>
    </w:p>
    <w:p>
      <w:pPr>
        <w:pStyle w:val="2"/>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今年是防范化解重大风险攻坚战和全面建成小康社会收官之年，为进一步加强防范非法集资宣传教育，提升社会公众金融风险防范意识，坚决打击地方金融领域非法金融、非法放贷等违法行为，维护金融安全和社会稳定，</w:t>
      </w:r>
      <w:r>
        <w:rPr>
          <w:rFonts w:ascii="仿宋" w:hAnsi="仿宋" w:eastAsia="仿宋" w:cs="仿宋"/>
          <w:sz w:val="30"/>
          <w:szCs w:val="30"/>
        </w:rPr>
        <w:t xml:space="preserve"> 6</w:t>
      </w:r>
      <w:r>
        <w:rPr>
          <w:rFonts w:hint="eastAsia" w:ascii="仿宋" w:hAnsi="仿宋" w:eastAsia="仿宋" w:cs="仿宋"/>
          <w:sz w:val="30"/>
          <w:szCs w:val="30"/>
        </w:rPr>
        <w:t>月份在全县范围内开展</w:t>
      </w:r>
      <w:r>
        <w:rPr>
          <w:rFonts w:ascii="仿宋" w:hAnsi="仿宋" w:eastAsia="仿宋" w:cs="仿宋"/>
          <w:sz w:val="30"/>
          <w:szCs w:val="30"/>
        </w:rPr>
        <w:t xml:space="preserve"> </w:t>
      </w:r>
      <w:r>
        <w:rPr>
          <w:rFonts w:hint="eastAsia" w:ascii="仿宋" w:hAnsi="仿宋" w:eastAsia="仿宋" w:cs="仿宋"/>
          <w:sz w:val="30"/>
          <w:szCs w:val="30"/>
        </w:rPr>
        <w:t>“守住钱袋子、护好幸福家”</w:t>
      </w:r>
      <w:r>
        <w:rPr>
          <w:rFonts w:ascii="仿宋" w:hAnsi="仿宋" w:eastAsia="仿宋" w:cs="仿宋"/>
          <w:sz w:val="30"/>
          <w:szCs w:val="30"/>
        </w:rPr>
        <w:t xml:space="preserve"> </w:t>
      </w:r>
      <w:r>
        <w:rPr>
          <w:rFonts w:hint="eastAsia" w:ascii="仿宋" w:hAnsi="仿宋" w:eastAsia="仿宋" w:cs="仿宋"/>
          <w:sz w:val="30"/>
          <w:szCs w:val="30"/>
        </w:rPr>
        <w:t>为主题的防范非法集资暨地方金融领域扫黑除恶专项斗争宣传月活动。</w:t>
      </w:r>
    </w:p>
    <w:p>
      <w:pPr>
        <w:pStyle w:val="2"/>
        <w:spacing w:line="360" w:lineRule="auto"/>
        <w:ind w:firstLine="600" w:firstLineChars="200"/>
        <w:rPr>
          <w:rFonts w:ascii="仿宋" w:hAnsi="仿宋" w:eastAsia="仿宋" w:cs="仿宋"/>
          <w:sz w:val="30"/>
          <w:szCs w:val="30"/>
        </w:rPr>
      </w:pPr>
      <w:r>
        <w:rPr>
          <w:rFonts w:ascii="仿宋" w:hAnsi="仿宋" w:eastAsia="仿宋" w:cs="仿宋"/>
          <w:sz w:val="30"/>
          <w:szCs w:val="30"/>
        </w:rPr>
        <w:t>6</w:t>
      </w:r>
      <w:r>
        <w:rPr>
          <w:rFonts w:hint="eastAsia" w:ascii="仿宋" w:hAnsi="仿宋" w:eastAsia="仿宋" w:cs="仿宋"/>
          <w:sz w:val="30"/>
          <w:szCs w:val="30"/>
        </w:rPr>
        <w:t>月</w:t>
      </w:r>
      <w:r>
        <w:rPr>
          <w:rFonts w:ascii="仿宋" w:hAnsi="仿宋" w:eastAsia="仿宋" w:cs="仿宋"/>
          <w:sz w:val="30"/>
          <w:szCs w:val="30"/>
        </w:rPr>
        <w:t>15</w:t>
      </w:r>
      <w:r>
        <w:rPr>
          <w:rFonts w:hint="eastAsia" w:ascii="仿宋" w:hAnsi="仿宋" w:eastAsia="仿宋" w:cs="仿宋"/>
          <w:sz w:val="30"/>
          <w:szCs w:val="30"/>
        </w:rPr>
        <w:t>日，县金融监管局组织各有关单位、各银行业（保险业）金融机构等在法制广场集中宣传和发声，通过摆放展板、沿街发放宣传册等形式掀起宣传高潮。</w:t>
      </w:r>
    </w:p>
    <w:p>
      <w:pPr>
        <w:pStyle w:val="2"/>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活动期间，共发放</w:t>
      </w:r>
      <w:r>
        <w:rPr>
          <w:rFonts w:ascii="仿宋" w:hAnsi="仿宋" w:eastAsia="仿宋" w:cs="仿宋"/>
          <w:sz w:val="30"/>
          <w:szCs w:val="30"/>
        </w:rPr>
        <w:t>5000</w:t>
      </w:r>
      <w:r>
        <w:rPr>
          <w:rFonts w:hint="eastAsia" w:ascii="仿宋" w:hAnsi="仿宋" w:eastAsia="仿宋" w:cs="仿宋"/>
          <w:sz w:val="30"/>
          <w:szCs w:val="30"/>
        </w:rPr>
        <w:t>余份宣传材料，接受现场咨询</w:t>
      </w:r>
      <w:r>
        <w:rPr>
          <w:rFonts w:ascii="仿宋" w:hAnsi="仿宋" w:eastAsia="仿宋" w:cs="仿宋"/>
          <w:sz w:val="30"/>
          <w:szCs w:val="30"/>
        </w:rPr>
        <w:t>100</w:t>
      </w:r>
      <w:r>
        <w:rPr>
          <w:rFonts w:hint="eastAsia" w:ascii="仿宋" w:hAnsi="仿宋" w:eastAsia="仿宋" w:cs="仿宋"/>
          <w:sz w:val="30"/>
          <w:szCs w:val="30"/>
        </w:rPr>
        <w:t>余人次。这次宣传活动坚持贴近基层、贴近群众、贴近生活的原则，突出重点领域，聚焦网络借贷、私募基金、养老服务、虚拟货币、区块链、电子商务等行业领域，注重防范利用疫情、复工复产等噱头开展非法集资风险。引导全县形成“参与非法集资风险自担、自觉远离非法集资活动”的心理预期，提高了群众自我防范意识，为旌德县经济健康发展和人民群众幸福生活营造良好舆论环境。</w:t>
      </w:r>
    </w:p>
    <w:p>
      <w:pPr>
        <w:pStyle w:val="2"/>
        <w:spacing w:line="360" w:lineRule="auto"/>
        <w:ind w:firstLine="360" w:firstLineChars="200"/>
        <w:rPr>
          <w:rFonts w:ascii="仿宋" w:hAnsi="仿宋" w:eastAsia="仿宋" w:cs="仿宋"/>
          <w:sz w:val="30"/>
          <w:szCs w:val="30"/>
        </w:rPr>
      </w:pPr>
      <w:r>
        <mc:AlternateContent>
          <mc:Choice Requires="wps">
            <w:drawing>
              <wp:anchor distT="0" distB="0" distL="114300" distR="114300" simplePos="0" relativeHeight="251657216" behindDoc="0" locked="0" layoutInCell="1" allowOverlap="1">
                <wp:simplePos x="0" y="0"/>
                <wp:positionH relativeFrom="column">
                  <wp:posOffset>80010</wp:posOffset>
                </wp:positionH>
                <wp:positionV relativeFrom="paragraph">
                  <wp:posOffset>159385</wp:posOffset>
                </wp:positionV>
                <wp:extent cx="1943100" cy="501650"/>
                <wp:effectExtent l="19050" t="19050" r="19050" b="31750"/>
                <wp:wrapNone/>
                <wp:docPr id="5" name="文本框 5"/>
                <wp:cNvGraphicFramePr/>
                <a:graphic xmlns:a="http://schemas.openxmlformats.org/drawingml/2006/main">
                  <a:graphicData uri="http://schemas.microsoft.com/office/word/2010/wordprocessingShape">
                    <wps:wsp>
                      <wps:cNvSpPr txBox="1"/>
                      <wps:spPr>
                        <a:xfrm>
                          <a:off x="0" y="0"/>
                          <a:ext cx="1943100" cy="501650"/>
                        </a:xfrm>
                        <a:prstGeom prst="rect">
                          <a:avLst/>
                        </a:prstGeom>
                        <a:solidFill>
                          <a:srgbClr val="FFFFFF"/>
                        </a:solidFill>
                        <a:ln w="38100" cap="flat" cmpd="sng">
                          <a:solidFill>
                            <a:srgbClr val="FF0000"/>
                          </a:solidFill>
                          <a:prstDash val="solid"/>
                          <a:miter/>
                          <a:headEnd type="none" w="med" len="med"/>
                          <a:tailEnd type="none" w="med" len="med"/>
                        </a:ln>
                        <a:effectLst/>
                      </wps:spPr>
                      <wps:txbx>
                        <w:txbxContent>
                          <w:p>
                            <w:pPr>
                              <w:rPr>
                                <w:rFonts w:eastAsia="楷体_GB2312"/>
                                <w:b/>
                                <w:sz w:val="44"/>
                              </w:rPr>
                            </w:pPr>
                            <w:r>
                              <w:rPr>
                                <w:rFonts w:hint="eastAsia" w:eastAsia="楷体_GB2312"/>
                                <w:b/>
                                <w:sz w:val="44"/>
                              </w:rPr>
                              <w:t>金融监管专栏</w:t>
                            </w:r>
                          </w:p>
                        </w:txbxContent>
                      </wps:txbx>
                      <wps:bodyPr upright="1"/>
                    </wps:wsp>
                  </a:graphicData>
                </a:graphic>
              </wp:anchor>
            </w:drawing>
          </mc:Choice>
          <mc:Fallback>
            <w:pict>
              <v:shape id="_x0000_s1026" o:spid="_x0000_s1026" o:spt="202" type="#_x0000_t202" style="position:absolute;left:0pt;margin-left:6.3pt;margin-top:12.55pt;height:39.5pt;width:153pt;z-index:251657216;mso-width-relative:page;mso-height-relative:page;" fillcolor="#FFFFFF" filled="t" stroked="t" coordsize="21600,21600" o:gfxdata="UEsDBAoAAAAAAIdO4kAAAAAAAAAAAAAAAAAEAAAAZHJzL1BLAwQUAAAACACHTuJA6kW+b9YAAAAJ&#10;AQAADwAAAGRycy9kb3ducmV2LnhtbE2PzU7DMBCE70i8g7VI3KjtQEMa4lQIiRNCiIYLt22yTaLG&#10;dmS7P7w9y4keZ7/R7Ey1PttJHCnE0TsDeqFAkGt9N7rewFfzeleAiAldh5N3ZOCHIqzr66sKy86f&#10;3CcdN6kXHOJiiQaGlOZSytgOZDEu/EyO2c4Hi4ll6GUX8MThdpKZUrm0ODr+MOBMLwO1+83BGnh/&#10;XrUBQ/GW6HEZPvJm1s3+25jbG62eQCQ6p38z/NXn6lBzp60/uC6KiXWWs9NAttQgmN/rgg9bBupB&#10;g6wrebmg/gVQSwMEFAAAAAgAh07iQOwrZK73AQAA9wMAAA4AAABkcnMvZTJvRG9jLnhtbK1TzW4T&#10;MRC+I/UdLN+b3bSkKqtsKkEIFwRIhQeY+GfXkv9ku9nNC8AbcOLCnefKc3TspKGBHirEHrxjz/ib&#10;b74Zz29Go8lGhKicbel0UlMiLHNc2a6lXz6vzq8piQksB+2saOlWRHqzOHsxH3wjLlzvNBeBIIiN&#10;zeBb2qfkm6qKrBcG4sR5YdEpXTCQcBu6igcYEN3o6qKur6rBBe6DYyJGPF3unXRR8KUULH2UMopE&#10;dEuRWyprKOs6r9ViDk0XwPeKHWjAP7AwoCwmPUItIQG5C+ovKKNYcNHJNGHOVE5KxUSpAauZ1n9U&#10;c9uDF6UWFCf6o0zx/8GyD5tPgSje0hklFgy2aPf92+7Hr93Pr2SW5Rl8bDDq1mNcGl+7Edv8cB7x&#10;MFc9ymDyH+sh6Eeht0dxxZgIy5devbyc1uhi6JvV06tZUb/6fduHmN4JZ0g2WhqweUVT2LyPCZlg&#10;6ENIThadVnyltC6b0K3f6EA2gI1elS+TxCsnYdqSoaWX13sigAMnNSTkZDxKEG1XEp5ciafINX5P&#10;IWdmS4j9nkFByGHQGJVEKFYvgL+1nKStR5ktvgea2RjBKdECn0+2SmQCpZ8TieVpm5OIMuoHmXLH&#10;9p3JVhrXI4Jmc+34Frt454PqelS49LHKHpyuItbhJeTxfbxH+/F7Xd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kW+b9YAAAAJAQAADwAAAAAAAAABACAAAAAiAAAAZHJzL2Rvd25yZXYueG1sUEsB&#10;AhQAFAAAAAgAh07iQOwrZK73AQAA9wMAAA4AAAAAAAAAAQAgAAAAJQEAAGRycy9lMm9Eb2MueG1s&#10;UEsFBgAAAAAGAAYAWQEAAI4FAAAAAA==&#10;">
                <v:fill on="t" focussize="0,0"/>
                <v:stroke weight="3pt" color="#FF0000" joinstyle="miter"/>
                <v:imagedata o:title=""/>
                <o:lock v:ext="edit" aspectratio="f"/>
                <v:textbox>
                  <w:txbxContent>
                    <w:p>
                      <w:pPr>
                        <w:rPr>
                          <w:rFonts w:eastAsia="楷体_GB2312"/>
                          <w:b/>
                          <w:sz w:val="44"/>
                        </w:rPr>
                      </w:pPr>
                      <w:r>
                        <w:rPr>
                          <w:rFonts w:hint="eastAsia" w:eastAsia="楷体_GB2312"/>
                          <w:b/>
                          <w:sz w:val="44"/>
                        </w:rPr>
                        <w:t>金融监管专栏</w:t>
                      </w:r>
                    </w:p>
                  </w:txbxContent>
                </v:textbox>
              </v:shape>
            </w:pict>
          </mc:Fallback>
        </mc:AlternateContent>
      </w:r>
    </w:p>
    <w:p>
      <w:pPr>
        <w:pStyle w:val="2"/>
        <w:spacing w:line="360" w:lineRule="auto"/>
        <w:ind w:firstLine="600" w:firstLineChars="200"/>
        <w:rPr>
          <w:rFonts w:ascii="仿宋" w:hAnsi="仿宋" w:eastAsia="仿宋" w:cs="仿宋"/>
          <w:sz w:val="30"/>
          <w:szCs w:val="30"/>
        </w:rPr>
      </w:pPr>
    </w:p>
    <w:p>
      <w:pPr>
        <w:rPr>
          <w:rFonts w:ascii="仿宋" w:hAnsi="仿宋" w:eastAsia="仿宋" w:cs="仿宋"/>
          <w:sz w:val="30"/>
          <w:szCs w:val="30"/>
        </w:rPr>
      </w:pPr>
    </w:p>
    <w:p>
      <w:pPr>
        <w:ind w:firstLine="420" w:firstLineChars="200"/>
        <w:rPr>
          <w:rFonts w:ascii="仿宋" w:hAnsi="仿宋" w:eastAsia="仿宋" w:cs="仿宋"/>
          <w:sz w:val="30"/>
          <w:szCs w:val="30"/>
        </w:rPr>
      </w:pPr>
      <w:r>
        <w:drawing>
          <wp:anchor distT="0" distB="0" distL="114300" distR="114300" simplePos="0" relativeHeight="251661312" behindDoc="0" locked="0" layoutInCell="1" allowOverlap="1">
            <wp:simplePos x="0" y="0"/>
            <wp:positionH relativeFrom="column">
              <wp:posOffset>85725</wp:posOffset>
            </wp:positionH>
            <wp:positionV relativeFrom="paragraph">
              <wp:posOffset>9525</wp:posOffset>
            </wp:positionV>
            <wp:extent cx="3610610" cy="2707005"/>
            <wp:effectExtent l="0" t="0" r="8890" b="17145"/>
            <wp:wrapSquare wrapText="bothSides"/>
            <wp:docPr id="2"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图片1"/>
                    <pic:cNvPicPr>
                      <a:picLocks noChangeAspect="1"/>
                    </pic:cNvPicPr>
                  </pic:nvPicPr>
                  <pic:blipFill>
                    <a:blip r:embed="rId11"/>
                    <a:stretch>
                      <a:fillRect/>
                    </a:stretch>
                  </pic:blipFill>
                  <pic:spPr>
                    <a:xfrm>
                      <a:off x="0" y="0"/>
                      <a:ext cx="3610610" cy="2707005"/>
                    </a:xfrm>
                    <a:prstGeom prst="rect">
                      <a:avLst/>
                    </a:prstGeom>
                    <a:noFill/>
                    <a:ln>
                      <a:noFill/>
                    </a:ln>
                  </pic:spPr>
                </pic:pic>
              </a:graphicData>
            </a:graphic>
          </wp:anchor>
        </w:drawing>
      </w:r>
      <w:r>
        <w:rPr>
          <w:rFonts w:hint="eastAsia" w:ascii="仿宋" w:hAnsi="仿宋" w:eastAsia="仿宋" w:cs="仿宋"/>
          <w:sz w:val="30"/>
          <w:szCs w:val="30"/>
        </w:rPr>
        <w:t>为落实中央、省市县扫黑除恶专项斗争“六清”行动会议部署要求，认真做好地方金融领域扫黑除恶专项斗争“六清”行动“行业清源”各项工作，全面打响扫黑除恶斗争决胜收官之战，</w:t>
      </w:r>
      <w:r>
        <w:rPr>
          <w:rFonts w:ascii="仿宋" w:hAnsi="仿宋" w:eastAsia="仿宋" w:cs="仿宋"/>
          <w:sz w:val="30"/>
          <w:szCs w:val="30"/>
        </w:rPr>
        <w:t xml:space="preserve"> 6</w:t>
      </w:r>
      <w:r>
        <w:rPr>
          <w:rFonts w:hint="eastAsia" w:ascii="仿宋" w:hAnsi="仿宋" w:eastAsia="仿宋" w:cs="仿宋"/>
          <w:sz w:val="30"/>
          <w:szCs w:val="30"/>
        </w:rPr>
        <w:t>月</w:t>
      </w:r>
      <w:r>
        <w:rPr>
          <w:rFonts w:ascii="仿宋" w:hAnsi="仿宋" w:eastAsia="仿宋" w:cs="仿宋"/>
          <w:sz w:val="30"/>
          <w:szCs w:val="30"/>
        </w:rPr>
        <w:t>28</w:t>
      </w:r>
      <w:r>
        <w:rPr>
          <w:rFonts w:hint="eastAsia" w:ascii="仿宋" w:hAnsi="仿宋" w:eastAsia="仿宋" w:cs="仿宋"/>
          <w:sz w:val="30"/>
          <w:szCs w:val="30"/>
        </w:rPr>
        <w:t>日</w:t>
      </w:r>
      <w:r>
        <w:rPr>
          <w:rFonts w:ascii="仿宋" w:hAnsi="仿宋" w:eastAsia="仿宋" w:cs="仿宋"/>
          <w:sz w:val="30"/>
          <w:szCs w:val="30"/>
        </w:rPr>
        <w:t>,</w:t>
      </w:r>
      <w:r>
        <w:rPr>
          <w:rFonts w:hint="eastAsia" w:ascii="仿宋" w:hAnsi="仿宋" w:eastAsia="仿宋" w:cs="仿宋"/>
          <w:sz w:val="30"/>
          <w:szCs w:val="30"/>
        </w:rPr>
        <w:t>县地方金融监管局组织召开了工作推进会议，财政局党组成员、金融服务中主任方家喜主持会议，县人行、教体局、各银行机构、学校有关负责人参加。</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会上，传达学习了《旌德县扫黑除恶专项斗争“六清”行动“行业清源”工作方案》和《旌德县金融领域扫黑除恶专项斗争“六清”行动</w:t>
      </w:r>
      <w:r>
        <w:rPr>
          <w:rFonts w:ascii="仿宋" w:hAnsi="仿宋" w:eastAsia="仿宋" w:cs="仿宋"/>
          <w:sz w:val="30"/>
          <w:szCs w:val="30"/>
        </w:rPr>
        <w:t xml:space="preserve"> </w:t>
      </w:r>
      <w:r>
        <w:rPr>
          <w:rFonts w:hint="eastAsia" w:ascii="仿宋" w:hAnsi="仿宋" w:eastAsia="仿宋" w:cs="仿宋"/>
          <w:sz w:val="30"/>
          <w:szCs w:val="30"/>
        </w:rPr>
        <w:t>“行业清源”暨金融放贷领域突出问题专项整治工作方案》，县人行汪谦副行长就金融机构工作人员内外勾连协助非法放贷等问题，县教体局许来宝副局长就“校园贷”专项整治工作，分别做了具体部署。</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会上强调，一是提高思想认识，深刻认识到今年作为扫黑除恶专项斗争工作的收官之年的重要性，明确各个单位目标任务，积极落实具体工作。二是加强宣传力度，提升宣传效果，积极利用各类媒介资源开展形式多样的日常宣传，充分发动各行业部门、街道、乡镇形成协同联动的工作格局，将群众优势转化为扫黑除恶的工作优势。三是及时提炼总结，迎接检查验收，各部门要落实主体责任，迅速做出安排，传导压力、推动责任落实，按照制定的工作方案开展工作，有序推进，及时反馈工作效果，确保扫黑除恶专项斗争“行业清源”活动取得实效。</w:t>
      </w:r>
    </w:p>
    <w:p>
      <w:pPr>
        <w:pStyle w:val="4"/>
        <w:shd w:val="clear" w:color="auto" w:fill="FFFFFF"/>
        <w:spacing w:beforeAutospacing="0" w:afterAutospacing="0"/>
        <w:rPr>
          <w:rFonts w:ascii="仿宋" w:hAnsi="仿宋" w:eastAsia="仿宋" w:cs="仿宋"/>
          <w:sz w:val="32"/>
        </w:rPr>
      </w:pPr>
      <w:r>
        <mc:AlternateContent>
          <mc:Choice Requires="wps">
            <w:drawing>
              <wp:anchor distT="0" distB="0" distL="114300" distR="114300" simplePos="0" relativeHeight="251658240" behindDoc="1" locked="0" layoutInCell="1" allowOverlap="1">
                <wp:simplePos x="0" y="0"/>
                <wp:positionH relativeFrom="column">
                  <wp:posOffset>57150</wp:posOffset>
                </wp:positionH>
                <wp:positionV relativeFrom="paragraph">
                  <wp:posOffset>271145</wp:posOffset>
                </wp:positionV>
                <wp:extent cx="1947545" cy="450215"/>
                <wp:effectExtent l="19050" t="19050" r="33655" b="26035"/>
                <wp:wrapTight wrapText="bothSides">
                  <wp:wrapPolygon>
                    <wp:start x="-212" y="-919"/>
                    <wp:lineTo x="-212" y="22060"/>
                    <wp:lineTo x="21812" y="22060"/>
                    <wp:lineTo x="21812" y="-919"/>
                    <wp:lineTo x="-212" y="-919"/>
                  </wp:wrapPolygon>
                </wp:wrapTight>
                <wp:docPr id="4" name="文本框 3"/>
                <wp:cNvGraphicFramePr/>
                <a:graphic xmlns:a="http://schemas.openxmlformats.org/drawingml/2006/main">
                  <a:graphicData uri="http://schemas.microsoft.com/office/word/2010/wordprocessingShape">
                    <wps:wsp>
                      <wps:cNvSpPr txBox="1"/>
                      <wps:spPr>
                        <a:xfrm>
                          <a:off x="0" y="0"/>
                          <a:ext cx="1947545" cy="450215"/>
                        </a:xfrm>
                        <a:prstGeom prst="rect">
                          <a:avLst/>
                        </a:prstGeom>
                        <a:solidFill>
                          <a:srgbClr val="FFFFFF"/>
                        </a:solidFill>
                        <a:ln w="38100" cap="flat" cmpd="sng">
                          <a:solidFill>
                            <a:srgbClr val="FF0000"/>
                          </a:solidFill>
                          <a:prstDash val="solid"/>
                          <a:miter/>
                          <a:headEnd type="none" w="med" len="med"/>
                          <a:tailEnd type="none" w="med" len="med"/>
                        </a:ln>
                        <a:effectLst/>
                      </wps:spPr>
                      <wps:txbx>
                        <w:txbxContent>
                          <w:p>
                            <w:pPr>
                              <w:rPr>
                                <w:rFonts w:eastAsia="楷体_GB2312"/>
                                <w:b/>
                                <w:sz w:val="44"/>
                              </w:rPr>
                            </w:pPr>
                            <w:r>
                              <w:rPr>
                                <w:rFonts w:hint="eastAsia" w:eastAsia="楷体_GB2312"/>
                                <w:b/>
                                <w:sz w:val="44"/>
                              </w:rPr>
                              <w:t>金融扶贫专栏</w:t>
                            </w:r>
                          </w:p>
                        </w:txbxContent>
                      </wps:txbx>
                      <wps:bodyPr upright="1"/>
                    </wps:wsp>
                  </a:graphicData>
                </a:graphic>
              </wp:anchor>
            </w:drawing>
          </mc:Choice>
          <mc:Fallback>
            <w:pict>
              <v:shape id="文本框 3" o:spid="_x0000_s1026" o:spt="202" type="#_x0000_t202" style="position:absolute;left:0pt;margin-left:4.5pt;margin-top:21.35pt;height:35.45pt;width:153.35pt;mso-wrap-distance-left:9pt;mso-wrap-distance-right:9pt;z-index:-251658240;mso-width-relative:page;mso-height-relative:page;" fillcolor="#FFFFFF" filled="t" stroked="t" coordsize="21600,21600" wrapcoords="-212 -919 -212 22060 21812 22060 21812 -919 -212 -919" o:gfxdata="UEsDBAoAAAAAAIdO4kAAAAAAAAAAAAAAAAAEAAAAZHJzL1BLAwQUAAAACACHTuJAmv92F9cAAAAI&#10;AQAADwAAAGRycy9kb3ducmV2LnhtbE2PzU7DMBCE70i8g7VI3KjjlqZtiFMhJE4IIRou3LbJkkSN&#10;15Ht/vD2LCe47WhGs9+U24sb1YlCHDxbMLMMFHHj24E7Cx/1890aVEzILY6eycI3RdhW11clFq0/&#10;8zuddqlTUsKxQAt9SlOhdWx6chhnfiIW78sHh0lk6HQb8CzlbtTzLMu1w4HlQ48TPfXUHHZHZ+H1&#10;cdMEDOuXRKtleMvrydSHT2tvb0z2ACrRJf2F4Rdf0KESpr0/chvVaGEjS5KF+/kKlNgLs5RjLzmz&#10;yEFXpf4/oPoBUEsDBBQAAAAIAIdO4kDJwdJU9gEAAPcDAAAOAAAAZHJzL2Uyb0RvYy54bWytU0uO&#10;EzEQ3SNxB8t70p1MAkMrnZEghA0CpIEDVPzptuSfbE+6cwG4ASs27DlXzkHZyYQJsECIXrjLrvKr&#10;qvdcy5vRaLITISpnWzqd1JQIyxxXtmvpxw+bJ9eUxASWg3ZWtHQvIr1ZPX60HHwjZq53motAEMTG&#10;ZvAt7VPyTVVF1gsDceK8sOiULhhIuA1dxQMMiG50Navrp9XgAvfBMREjnq6PTroq+FIKlt5JGUUi&#10;uqVYWyprKOs2r9VqCU0XwPeKncqAf6jCgLKY9Ay1hgTkLqjfoIxiwUUn04Q5UzkpFROlB+xmWv/S&#10;zW0PXpRekJzozzTF/wfL3u7eB6J4S+eUWDAo0eHL58PX74dvn8hVpmfwscGoW49xaXzhRpT5/jzi&#10;Ye56lMHkP/ZD0I9E78/kijERli89nz9bzBeUMPTNF/Vsusgw1c/bPsT0WjhDstHSgOIVTmH3JqZj&#10;6H1IThadVnyjtC6b0G1f6kB2gEJvyndCvwjTlgwtvbqe1lgjA3xwUkNC03ikINquJLy4Ei+Ra/z+&#10;hJwrW0PsjxUUhBwGjVFJhGL1Avgry0nae6TZ4jzQXI0RnBItcHyyVSITKP03kUietjmJKE/9RFNW&#10;7KhMttK4HRE0m1vH96jinQ+q65HhomOVPfi6ihSnScjP9+Ee7Yfzuv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v92F9cAAAAIAQAADwAAAAAAAAABACAAAAAiAAAAZHJzL2Rvd25yZXYueG1sUEsB&#10;AhQAFAAAAAgAh07iQMnB0lT2AQAA9wMAAA4AAAAAAAAAAQAgAAAAJgEAAGRycy9lMm9Eb2MueG1s&#10;UEsFBgAAAAAGAAYAWQEAAI4FAAAAAA==&#10;">
                <v:fill on="t" focussize="0,0"/>
                <v:stroke weight="3pt" color="#FF0000" joinstyle="miter"/>
                <v:imagedata o:title=""/>
                <o:lock v:ext="edit" aspectratio="f"/>
                <v:textbox>
                  <w:txbxContent>
                    <w:p>
                      <w:pPr>
                        <w:rPr>
                          <w:rFonts w:eastAsia="楷体_GB2312"/>
                          <w:b/>
                          <w:sz w:val="44"/>
                        </w:rPr>
                      </w:pPr>
                      <w:r>
                        <w:rPr>
                          <w:rFonts w:hint="eastAsia" w:eastAsia="楷体_GB2312"/>
                          <w:b/>
                          <w:sz w:val="44"/>
                        </w:rPr>
                        <w:t>金融扶贫专栏</w:t>
                      </w:r>
                    </w:p>
                  </w:txbxContent>
                </v:textbox>
                <w10:wrap type="tight"/>
              </v:shape>
            </w:pict>
          </mc:Fallback>
        </mc:AlternateContent>
      </w:r>
    </w:p>
    <w:p>
      <w:pPr>
        <w:pStyle w:val="4"/>
        <w:shd w:val="clear" w:color="auto" w:fill="FFFFFF"/>
        <w:spacing w:beforeAutospacing="0" w:afterAutospacing="0"/>
        <w:rPr>
          <w:rFonts w:ascii="仿宋" w:hAnsi="仿宋" w:eastAsia="仿宋" w:cs="仿宋"/>
          <w:sz w:val="32"/>
        </w:rPr>
      </w:pP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截止</w:t>
      </w:r>
      <w:r>
        <w:rPr>
          <w:rFonts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rPr>
        <w:t>月底，全县扶贫小额信贷贷款余额</w:t>
      </w:r>
      <w:r>
        <w:rPr>
          <w:rFonts w:ascii="仿宋_GB2312" w:hAnsi="仿宋_GB2312" w:eastAsia="仿宋_GB2312" w:cs="仿宋_GB2312"/>
          <w:color w:val="000000"/>
          <w:sz w:val="32"/>
          <w:szCs w:val="32"/>
        </w:rPr>
        <w:t>176</w:t>
      </w:r>
      <w:r>
        <w:rPr>
          <w:rFonts w:hint="eastAsia" w:ascii="仿宋_GB2312" w:hAnsi="仿宋_GB2312" w:eastAsia="仿宋_GB2312" w:cs="仿宋_GB2312"/>
          <w:color w:val="000000"/>
          <w:sz w:val="32"/>
          <w:szCs w:val="32"/>
        </w:rPr>
        <w:t>万元，涉及贫困户</w:t>
      </w:r>
      <w:r>
        <w:rPr>
          <w:rFonts w:ascii="仿宋_GB2312" w:hAnsi="仿宋_GB2312" w:eastAsia="仿宋_GB2312" w:cs="仿宋_GB2312"/>
          <w:color w:val="000000"/>
          <w:sz w:val="32"/>
          <w:szCs w:val="32"/>
        </w:rPr>
        <w:t>42</w:t>
      </w:r>
      <w:r>
        <w:rPr>
          <w:rFonts w:hint="eastAsia" w:ascii="仿宋_GB2312" w:hAnsi="仿宋_GB2312" w:eastAsia="仿宋_GB2312" w:cs="仿宋_GB2312"/>
          <w:color w:val="000000"/>
          <w:sz w:val="32"/>
          <w:szCs w:val="32"/>
        </w:rPr>
        <w:t>户，</w:t>
      </w:r>
      <w:r>
        <w:rPr>
          <w:rFonts w:ascii="仿宋_GB2312" w:hAnsi="仿宋_GB2312" w:eastAsia="仿宋_GB2312" w:cs="仿宋_GB2312"/>
          <w:color w:val="000000"/>
          <w:sz w:val="32"/>
          <w:szCs w:val="32"/>
        </w:rPr>
        <w:t>2020</w:t>
      </w:r>
      <w:r>
        <w:rPr>
          <w:rFonts w:hint="eastAsia" w:ascii="仿宋_GB2312" w:hAnsi="仿宋_GB2312" w:eastAsia="仿宋_GB2312" w:cs="仿宋_GB2312"/>
          <w:color w:val="000000"/>
          <w:sz w:val="32"/>
          <w:szCs w:val="32"/>
        </w:rPr>
        <w:t>年累计投放</w:t>
      </w:r>
      <w:r>
        <w:rPr>
          <w:rFonts w:ascii="仿宋_GB2312" w:hAnsi="仿宋_GB2312" w:eastAsia="仿宋_GB2312" w:cs="仿宋_GB2312"/>
          <w:color w:val="000000"/>
          <w:sz w:val="32"/>
          <w:szCs w:val="32"/>
        </w:rPr>
        <w:t>27</w:t>
      </w:r>
      <w:r>
        <w:rPr>
          <w:rFonts w:hint="eastAsia" w:ascii="仿宋_GB2312" w:hAnsi="仿宋_GB2312" w:eastAsia="仿宋_GB2312" w:cs="仿宋_GB2312"/>
          <w:color w:val="000000"/>
          <w:sz w:val="32"/>
          <w:szCs w:val="32"/>
        </w:rPr>
        <w:t>户，</w:t>
      </w:r>
      <w:r>
        <w:rPr>
          <w:rFonts w:ascii="仿宋_GB2312" w:hAnsi="仿宋_GB2312" w:eastAsia="仿宋_GB2312" w:cs="仿宋_GB2312"/>
          <w:color w:val="000000"/>
          <w:sz w:val="32"/>
          <w:szCs w:val="32"/>
        </w:rPr>
        <w:t>108.7</w:t>
      </w:r>
      <w:r>
        <w:rPr>
          <w:rFonts w:hint="eastAsia" w:ascii="仿宋_GB2312" w:hAnsi="仿宋_GB2312" w:eastAsia="仿宋_GB2312" w:cs="仿宋_GB2312"/>
          <w:color w:val="000000"/>
          <w:sz w:val="32"/>
          <w:szCs w:val="32"/>
        </w:rPr>
        <w:t>万元。</w:t>
      </w:r>
    </w:p>
    <w:p>
      <w:pPr>
        <w:pStyle w:val="4"/>
        <w:shd w:val="clear" w:color="auto" w:fill="FFFFFF"/>
        <w:spacing w:before="0" w:beforeAutospacing="0" w:after="0" w:afterAutospacing="0"/>
        <w:ind w:firstLine="420"/>
        <w:jc w:val="both"/>
        <w:rPr>
          <w:rFonts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一年前，汪田孝在白地支行办理了</w:t>
      </w:r>
      <w:r>
        <w:rPr>
          <w:rFonts w:ascii="仿宋_GB2312" w:hAnsi="仿宋_GB2312" w:eastAsia="仿宋_GB2312" w:cs="仿宋_GB2312"/>
          <w:color w:val="000000"/>
          <w:kern w:val="2"/>
          <w:sz w:val="32"/>
          <w:szCs w:val="32"/>
        </w:rPr>
        <w:t>2</w:t>
      </w:r>
      <w:r>
        <w:rPr>
          <w:rFonts w:hint="eastAsia" w:ascii="仿宋_GB2312" w:hAnsi="仿宋_GB2312" w:eastAsia="仿宋_GB2312" w:cs="仿宋_GB2312"/>
          <w:color w:val="000000"/>
          <w:kern w:val="2"/>
          <w:sz w:val="32"/>
          <w:szCs w:val="32"/>
        </w:rPr>
        <w:t>万元扶贫小额信用贷款，用来发展养猪产业，</w:t>
      </w:r>
      <w:r>
        <w:rPr>
          <w:rFonts w:ascii="仿宋_GB2312" w:hAnsi="仿宋_GB2312" w:eastAsia="仿宋_GB2312" w:cs="仿宋_GB2312"/>
          <w:color w:val="000000"/>
          <w:kern w:val="2"/>
          <w:sz w:val="32"/>
          <w:szCs w:val="32"/>
        </w:rPr>
        <w:t>2</w:t>
      </w:r>
      <w:r>
        <w:rPr>
          <w:rFonts w:hint="eastAsia" w:ascii="仿宋_GB2312" w:hAnsi="仿宋_GB2312" w:eastAsia="仿宋_GB2312" w:cs="仿宋_GB2312"/>
          <w:color w:val="000000"/>
          <w:kern w:val="2"/>
          <w:sz w:val="32"/>
          <w:szCs w:val="32"/>
        </w:rPr>
        <w:t>万元贷款</w:t>
      </w:r>
      <w:r>
        <w:rPr>
          <w:rFonts w:ascii="仿宋_GB2312" w:hAnsi="仿宋_GB2312" w:eastAsia="仿宋_GB2312" w:cs="仿宋_GB2312"/>
          <w:color w:val="000000"/>
          <w:kern w:val="2"/>
          <w:sz w:val="32"/>
          <w:szCs w:val="32"/>
        </w:rPr>
        <w:t>6</w:t>
      </w:r>
      <w:r>
        <w:rPr>
          <w:rFonts w:hint="eastAsia" w:ascii="仿宋_GB2312" w:hAnsi="仿宋_GB2312" w:eastAsia="仿宋_GB2312" w:cs="仿宋_GB2312"/>
          <w:color w:val="000000"/>
          <w:kern w:val="2"/>
          <w:sz w:val="32"/>
          <w:szCs w:val="32"/>
        </w:rPr>
        <w:t>月份要到期了。“做人就是要讲诚信，哪怕再穷也要想办法把贷款还上，不能因失信而害了自己害了家人。”汪田孝说。</w:t>
      </w:r>
    </w:p>
    <w:p>
      <w:pPr>
        <w:pStyle w:val="4"/>
        <w:shd w:val="clear" w:color="auto" w:fill="FFFFFF"/>
        <w:spacing w:before="0" w:beforeAutospacing="0" w:after="0" w:afterAutospacing="0"/>
        <w:ind w:firstLine="420"/>
        <w:jc w:val="both"/>
        <w:rPr>
          <w:rFonts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获悉消息后，旌德农商银行白地支行负责人带领客户经理，到江村村走访汪田孝户，详细了解了其家庭经营和诚信情况，对金融精准扶贫政策进行了讲解，并结合借款人实际困难，制定了“无还本续贷”计划，明确客户经理跟踪落实，确保在贷款到期前妥善办理续贷手续。</w:t>
      </w:r>
    </w:p>
    <w:p>
      <w:pPr>
        <w:pStyle w:val="4"/>
        <w:shd w:val="clear" w:color="auto" w:fill="FFFFFF"/>
        <w:spacing w:before="0" w:beforeAutospacing="0" w:after="0" w:afterAutospacing="0"/>
        <w:ind w:firstLine="420"/>
        <w:jc w:val="both"/>
        <w:rPr>
          <w:rFonts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扶贫贷款无还本续贷手续办妥后，汪田孝一家终于松了一口气。他说，他今年将继续把自己的养殖事业管理好，争取早日提前归还贷款，绝不会让贷款逾期。</w:t>
      </w:r>
    </w:p>
    <w:p>
      <w:pPr>
        <w:spacing w:line="660" w:lineRule="exact"/>
        <w:ind w:firstLine="438" w:firstLineChars="209"/>
        <w:jc w:val="left"/>
        <w:rPr>
          <w:rFonts w:ascii="仿宋_GB2312" w:hAnsi="仿宋_GB2312" w:eastAsia="仿宋_GB2312" w:cs="仿宋_GB2312"/>
          <w:sz w:val="32"/>
          <w:szCs w:val="32"/>
        </w:rPr>
      </w:pPr>
      <w:r>
        <mc:AlternateContent>
          <mc:Choice Requires="wps">
            <w:drawing>
              <wp:anchor distT="0" distB="0" distL="114300" distR="114300" simplePos="0" relativeHeight="251654144" behindDoc="0" locked="0" layoutInCell="1" allowOverlap="1">
                <wp:simplePos x="0" y="0"/>
                <wp:positionH relativeFrom="column">
                  <wp:posOffset>104775</wp:posOffset>
                </wp:positionH>
                <wp:positionV relativeFrom="paragraph">
                  <wp:posOffset>407035</wp:posOffset>
                </wp:positionV>
                <wp:extent cx="1933575" cy="495300"/>
                <wp:effectExtent l="19050" t="19050" r="28575" b="19050"/>
                <wp:wrapNone/>
                <wp:docPr id="6" name="文本框 6"/>
                <wp:cNvGraphicFramePr/>
                <a:graphic xmlns:a="http://schemas.openxmlformats.org/drawingml/2006/main">
                  <a:graphicData uri="http://schemas.microsoft.com/office/word/2010/wordprocessingShape">
                    <wps:wsp>
                      <wps:cNvSpPr txBox="1"/>
                      <wps:spPr>
                        <a:xfrm>
                          <a:off x="0" y="0"/>
                          <a:ext cx="1933575" cy="495300"/>
                        </a:xfrm>
                        <a:prstGeom prst="rect">
                          <a:avLst/>
                        </a:prstGeom>
                        <a:solidFill>
                          <a:srgbClr val="FFFFFF"/>
                        </a:solidFill>
                        <a:ln w="38100" cap="flat" cmpd="sng">
                          <a:solidFill>
                            <a:srgbClr val="FF0000"/>
                          </a:solidFill>
                          <a:prstDash val="solid"/>
                          <a:miter/>
                          <a:headEnd type="none" w="med" len="med"/>
                          <a:tailEnd type="none" w="med" len="med"/>
                        </a:ln>
                        <a:effectLst/>
                      </wps:spPr>
                      <wps:txbx>
                        <w:txbxContent>
                          <w:p>
                            <w:pPr>
                              <w:jc w:val="center"/>
                              <w:rPr>
                                <w:rFonts w:ascii="楷体_GB2312" w:eastAsia="楷体_GB2312"/>
                                <w:b/>
                                <w:sz w:val="44"/>
                                <w:szCs w:val="44"/>
                              </w:rPr>
                            </w:pPr>
                            <w:r>
                              <w:rPr>
                                <w:rFonts w:hint="eastAsia" w:ascii="楷体_GB2312" w:eastAsia="楷体_GB2312"/>
                                <w:b/>
                                <w:sz w:val="44"/>
                                <w:szCs w:val="44"/>
                              </w:rPr>
                              <w:t>金融政策专栏</w:t>
                            </w:r>
                          </w:p>
                        </w:txbxContent>
                      </wps:txbx>
                      <wps:bodyPr upright="1"/>
                    </wps:wsp>
                  </a:graphicData>
                </a:graphic>
              </wp:anchor>
            </w:drawing>
          </mc:Choice>
          <mc:Fallback>
            <w:pict>
              <v:shape id="_x0000_s1026" o:spid="_x0000_s1026" o:spt="202" type="#_x0000_t202" style="position:absolute;left:0pt;margin-left:8.25pt;margin-top:32.05pt;height:39pt;width:152.25pt;z-index:251654144;mso-width-relative:page;mso-height-relative:page;" fillcolor="#FFFFFF" filled="t" stroked="t" coordsize="21600,21600" o:gfxdata="UEsDBAoAAAAAAIdO4kAAAAAAAAAAAAAAAAAEAAAAZHJzL1BLAwQUAAAACACHTuJAyyjjAtUAAAAJ&#10;AQAADwAAAGRycy9kb3ducmV2LnhtbE2Py07DMBBF90j8gzVI7Kjj0IYS4lQIiRVCiIYNu2kyJFHj&#10;cWS7D/6eYQXLq3N1H9Xm7CZ1pBBHzxbMIgNF3Ppu5N7CR/N8swYVE3KHk2ey8E0RNvXlRYVl50/8&#10;Tsdt6pWEcCzRwpDSXGod24EcxoWfiYV9+eAwiQy97gKeJNxNOs+yQjscWRoGnOlpoHa/PTgLr4/3&#10;bcCwfkl0twpvRTObZv9p7fWVyR5AJTqnPzP8zpfpUMumnT9wF9UkuliJ00KxNKCE3+ZGvu0ELHMD&#10;uq70/wf1D1BLAwQUAAAACACHTuJA2n7qivkBAAD3AwAADgAAAGRycy9lMm9Eb2MueG1srVPNjhMx&#10;DL4j8Q5R7nSmW7rsjjpdCUq5IEBaeAA3PzOR8qck25m+ALwBJy7cea4+xzppt2yBA0LMIePE9mf7&#10;s724GY0mWxGicral00lNibDMcWW7ln76uH52RUlMYDloZ0VLdyLSm+XTJ4vBN+LC9U5zEQiC2NgM&#10;vqV9Sr6pqsh6YSBOnBcWldIFAwmvoat4gAHRja4u6vqyGlzgPjgmYsTX1UFJlwVfSsHSeymjSES3&#10;FHNL5Qzl3OSzWi6g6QL4XrFjGvAPWRhQFoOeoFaQgNwF9RuUUSy46GSaMGcqJ6ViotSA1UzrX6q5&#10;7cGLUguSE/2Jpvj/YNm77YdAFG/pJSUWDLZo//XL/tuP/ffP5DLTM/jYoNWtR7s0vnQjtvnhPeJj&#10;rnqUweQ/1kNQj0TvTuSKMRGWna5ns/mLOSUMdc+v57O6sF/99PYhpjfCGZKFlgZsXuEUtm9jwkzQ&#10;9MEkB4tOK75WWpdL6DavdCBbwEavy5eTRJczM23J0NLZ1RSDEwY4cFJDQtF4pCDargQ8c4nnyDV+&#10;f0LOma0g9ocMCkI2g8aoJEKRegH8teUk7TzSbHEfaM7GCE6JFrg+WSqWCZT+G0ssT9scRJRRP9KU&#10;O3boTJbSuBkRNIsbx3fYxTsfVNcjw6WPVdbgdBWyjpuQx/fxHeXH+7q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so4wLVAAAACQEAAA8AAAAAAAAAAQAgAAAAIgAAAGRycy9kb3ducmV2LnhtbFBL&#10;AQIUABQAAAAIAIdO4kDafuqK+QEAAPcDAAAOAAAAAAAAAAEAIAAAACQBAABkcnMvZTJvRG9jLnht&#10;bFBLBQYAAAAABgAGAFkBAACPBQAAAAA=&#10;">
                <v:fill on="t" focussize="0,0"/>
                <v:stroke weight="3pt" color="#FF0000" joinstyle="miter"/>
                <v:imagedata o:title=""/>
                <o:lock v:ext="edit" aspectratio="f"/>
                <v:textbox>
                  <w:txbxContent>
                    <w:p>
                      <w:pPr>
                        <w:jc w:val="center"/>
                        <w:rPr>
                          <w:rFonts w:ascii="楷体_GB2312" w:eastAsia="楷体_GB2312"/>
                          <w:b/>
                          <w:sz w:val="44"/>
                          <w:szCs w:val="44"/>
                        </w:rPr>
                      </w:pPr>
                      <w:r>
                        <w:rPr>
                          <w:rFonts w:hint="eastAsia" w:ascii="楷体_GB2312" w:eastAsia="楷体_GB2312"/>
                          <w:b/>
                          <w:sz w:val="44"/>
                          <w:szCs w:val="44"/>
                        </w:rPr>
                        <w:t>金融政策专栏</w:t>
                      </w:r>
                    </w:p>
                  </w:txbxContent>
                </v:textbox>
              </v:shape>
            </w:pict>
          </mc:Fallback>
        </mc:AlternateContent>
      </w:r>
    </w:p>
    <w:p>
      <w:pPr>
        <w:spacing w:line="660" w:lineRule="exact"/>
        <w:ind w:firstLine="668" w:firstLineChars="209"/>
        <w:jc w:val="left"/>
        <w:rPr>
          <w:rFonts w:ascii="仿宋_GB2312" w:hAnsi="仿宋_GB2312" w:eastAsia="仿宋_GB2312" w:cs="仿宋_GB2312"/>
          <w:sz w:val="32"/>
          <w:szCs w:val="32"/>
        </w:rPr>
      </w:pPr>
    </w:p>
    <w:p>
      <w:pPr>
        <w:pStyle w:val="4"/>
        <w:shd w:val="clear" w:color="auto" w:fill="FFFFFF"/>
        <w:spacing w:before="0" w:beforeAutospacing="0" w:after="0" w:afterAutospacing="0"/>
        <w:ind w:firstLine="420"/>
        <w:jc w:val="both"/>
        <w:rPr>
          <w:rFonts w:ascii="仿宋_GB2312" w:hAnsi="仿宋_GB2312" w:eastAsia="仿宋_GB2312" w:cs="仿宋_GB2312"/>
          <w:color w:val="000000"/>
          <w:kern w:val="2"/>
          <w:sz w:val="32"/>
          <w:szCs w:val="32"/>
        </w:rPr>
      </w:pPr>
    </w:p>
    <w:p>
      <w:pPr>
        <w:pStyle w:val="4"/>
        <w:shd w:val="clear" w:color="auto" w:fill="FFFFFF"/>
        <w:spacing w:before="0" w:beforeAutospacing="0" w:after="0" w:afterAutospacing="0"/>
        <w:ind w:firstLine="420"/>
        <w:jc w:val="both"/>
        <w:rPr>
          <w:rFonts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国务院总理李克强</w:t>
      </w:r>
      <w:r>
        <w:rPr>
          <w:rFonts w:ascii="仿宋_GB2312" w:hAnsi="仿宋_GB2312" w:eastAsia="仿宋_GB2312" w:cs="仿宋_GB2312"/>
          <w:color w:val="000000"/>
          <w:kern w:val="2"/>
          <w:sz w:val="32"/>
          <w:szCs w:val="32"/>
        </w:rPr>
        <w:t>6</w:t>
      </w:r>
      <w:r>
        <w:rPr>
          <w:rFonts w:hint="eastAsia" w:ascii="仿宋_GB2312" w:hAnsi="仿宋_GB2312" w:eastAsia="仿宋_GB2312" w:cs="仿宋_GB2312"/>
          <w:color w:val="000000"/>
          <w:kern w:val="2"/>
          <w:sz w:val="32"/>
          <w:szCs w:val="32"/>
        </w:rPr>
        <w:t>月</w:t>
      </w:r>
      <w:r>
        <w:rPr>
          <w:rFonts w:ascii="仿宋_GB2312" w:hAnsi="仿宋_GB2312" w:eastAsia="仿宋_GB2312" w:cs="仿宋_GB2312"/>
          <w:color w:val="000000"/>
          <w:kern w:val="2"/>
          <w:sz w:val="32"/>
          <w:szCs w:val="32"/>
        </w:rPr>
        <w:t>17</w:t>
      </w:r>
      <w:r>
        <w:rPr>
          <w:rFonts w:hint="eastAsia" w:ascii="仿宋_GB2312" w:hAnsi="仿宋_GB2312" w:eastAsia="仿宋_GB2312" w:cs="仿宋_GB2312"/>
          <w:color w:val="000000"/>
          <w:kern w:val="2"/>
          <w:sz w:val="32"/>
          <w:szCs w:val="32"/>
        </w:rPr>
        <w:t>日主持召开国务院常务会议，部署引导金融机构进一步向企业合理让利，助力稳住经济基本盘；要求加快降费政策落地见效，为市场主体减负。</w:t>
      </w:r>
    </w:p>
    <w:p>
      <w:pPr>
        <w:pStyle w:val="4"/>
        <w:shd w:val="clear" w:color="auto" w:fill="FFFFFF"/>
        <w:spacing w:before="0" w:beforeAutospacing="0" w:after="0" w:afterAutospacing="0"/>
        <w:ind w:firstLine="420"/>
        <w:jc w:val="both"/>
        <w:rPr>
          <w:rFonts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会议指出，按照党中央、国务院部署，做好“六稳”工作，落实“六保”任务，必须在发挥好积极财政政策特别是纾困和激发市场活力规模性政策作用同时，加大货币金融政策支持实体经济力度，帮助企业特别是中小微企业渡过难关，推动金融机构与企业共生共荣。今年</w:t>
      </w:r>
      <w:r>
        <w:rPr>
          <w:rFonts w:ascii="仿宋_GB2312" w:hAnsi="仿宋_GB2312" w:eastAsia="仿宋_GB2312" w:cs="仿宋_GB2312"/>
          <w:color w:val="000000"/>
          <w:kern w:val="2"/>
          <w:sz w:val="32"/>
          <w:szCs w:val="32"/>
        </w:rPr>
        <w:t>1—5</w:t>
      </w:r>
      <w:r>
        <w:rPr>
          <w:rFonts w:hint="eastAsia" w:ascii="仿宋_GB2312" w:hAnsi="仿宋_GB2312" w:eastAsia="仿宋_GB2312" w:cs="仿宋_GB2312"/>
          <w:color w:val="000000"/>
          <w:kern w:val="2"/>
          <w:sz w:val="32"/>
          <w:szCs w:val="32"/>
        </w:rPr>
        <w:t>月，通过降准、再贷款再贴现、引导市场利率下行等措施，人民币贷款同比多增，企业综合融资成本降低。</w:t>
      </w:r>
    </w:p>
    <w:p>
      <w:pPr>
        <w:pStyle w:val="4"/>
        <w:shd w:val="clear" w:color="auto" w:fill="FFFFFF"/>
        <w:spacing w:before="0" w:beforeAutospacing="0" w:after="0" w:afterAutospacing="0"/>
        <w:ind w:firstLine="420"/>
        <w:jc w:val="both"/>
        <w:rPr>
          <w:rFonts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下一步要根据政府工作报告要求，一是抓住合理让利这个关键，保市场主体，稳住经济基本盘。进一步通过引导贷款利率和债券利率下行、发放优惠利率贷款、实施中小微企业贷款延期还本付息、支持发放小微企业无担保信用贷款、减少银行收费等一系列政策，推动金融系统全年向各类企业合理让利</w:t>
      </w:r>
      <w:r>
        <w:rPr>
          <w:rFonts w:ascii="仿宋_GB2312" w:hAnsi="仿宋_GB2312" w:eastAsia="仿宋_GB2312" w:cs="仿宋_GB2312"/>
          <w:color w:val="000000"/>
          <w:kern w:val="2"/>
          <w:sz w:val="32"/>
          <w:szCs w:val="32"/>
        </w:rPr>
        <w:t>1.5</w:t>
      </w:r>
      <w:r>
        <w:rPr>
          <w:rFonts w:hint="eastAsia" w:ascii="仿宋_GB2312" w:hAnsi="仿宋_GB2312" w:eastAsia="仿宋_GB2312" w:cs="仿宋_GB2312"/>
          <w:color w:val="000000"/>
          <w:kern w:val="2"/>
          <w:sz w:val="32"/>
          <w:szCs w:val="32"/>
        </w:rPr>
        <w:t>万亿元。二是综合运用降准、再贷款等工具，保持市场流动性合理充裕，加大力度解决融资难，缓解企业资金压力，全年人民币贷款新增和社会融资新增规模均超过上年。三是遵循市场规律，完善资金直达企业的政策工具和相关机制。按照有保有控要求，确保新增金融资金主要流向制造业、一般服务业尤其是中小微企业，更好发挥救急纾困、“雪中送炭”效应，防止资金跑偏和“空转”，防范金融风险。四是增强金融服务中小微企业能力和动力。合理补充中小银行资本金。督促银行完善内部考核激励机制，提升普惠金融在考核中的权重。加大不良贷款核销处置力度。严禁发放贷款时附加不合理条件。切实做到市场主体实际融资成本明显下降、贷款难度进一步降低。</w:t>
      </w:r>
    </w:p>
    <w:p>
      <w:pPr>
        <w:pStyle w:val="4"/>
        <w:shd w:val="clear" w:color="auto" w:fill="FFFFFF"/>
        <w:spacing w:before="0" w:beforeAutospacing="0" w:after="0" w:afterAutospacing="0"/>
        <w:ind w:firstLine="420"/>
        <w:jc w:val="both"/>
        <w:rPr>
          <w:rFonts w:ascii="仿宋_GB2312" w:hAnsi="仿宋_GB2312" w:eastAsia="仿宋_GB2312" w:cs="仿宋_GB2312"/>
          <w:color w:val="000000"/>
          <w:kern w:val="2"/>
          <w:sz w:val="32"/>
          <w:szCs w:val="32"/>
        </w:rPr>
      </w:pPr>
    </w:p>
    <w:p>
      <w:pPr>
        <w:pStyle w:val="4"/>
        <w:shd w:val="clear" w:color="auto" w:fill="FFFFFF"/>
        <w:spacing w:before="0" w:beforeAutospacing="0" w:after="0" w:afterAutospacing="0"/>
        <w:ind w:firstLine="420"/>
        <w:jc w:val="both"/>
        <w:rPr>
          <w:rFonts w:ascii="仿宋_GB2312" w:hAnsi="仿宋_GB2312" w:eastAsia="仿宋_GB2312" w:cs="仿宋_GB2312"/>
          <w:color w:val="000000"/>
          <w:kern w:val="2"/>
          <w:sz w:val="32"/>
          <w:szCs w:val="32"/>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onospace">
    <w:altName w:val="Segoe Print"/>
    <w:panose1 w:val="00000000000000000000"/>
    <w:charset w:val="00"/>
    <w:family w:val="auto"/>
    <w:pitch w:val="default"/>
    <w:sig w:usb0="00000000" w:usb1="00000000" w:usb2="00000000" w:usb3="00000000" w:csb0="00000001" w:csb1="00000000"/>
  </w:font>
  <w:font w:name="方正小标宋简体">
    <w:altName w:val="黑体"/>
    <w:panose1 w:val="03000509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8"/>
      </w:rPr>
    </w:pPr>
    <w:r>
      <w:rPr>
        <w:rStyle w:val="8"/>
      </w:rPr>
      <w:fldChar w:fldCharType="begin"/>
    </w:r>
    <w:r>
      <w:rPr>
        <w:rStyle w:val="8"/>
      </w:rPr>
      <w:instrText xml:space="preserve">PAGE  </w:instrText>
    </w:r>
    <w:r>
      <w:rPr>
        <w:rStyle w:val="8"/>
      </w:rPr>
      <w:fldChar w:fldCharType="separate"/>
    </w:r>
    <w:r>
      <w:rPr>
        <w:rStyle w:val="8"/>
      </w:rPr>
      <w:t>4</w:t>
    </w:r>
    <w:r>
      <w:rPr>
        <w:rStyle w:val="8"/>
      </w:rP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8"/>
      </w:rPr>
    </w:pPr>
    <w:r>
      <w:rPr>
        <w:rStyle w:val="8"/>
      </w:rPr>
      <w:fldChar w:fldCharType="begin"/>
    </w:r>
    <w:r>
      <w:rPr>
        <w:rStyle w:val="8"/>
      </w:rPr>
      <w:instrText xml:space="preserve">PAGE  </w:instrText>
    </w:r>
    <w:r>
      <w:rPr>
        <w:rStyle w:val="8"/>
      </w:rPr>
      <w:fldChar w:fldCharType="end"/>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2F5611"/>
    <w:rsid w:val="000866AC"/>
    <w:rsid w:val="00156140"/>
    <w:rsid w:val="00266D60"/>
    <w:rsid w:val="00272419"/>
    <w:rsid w:val="002D72FC"/>
    <w:rsid w:val="002E2C93"/>
    <w:rsid w:val="00376645"/>
    <w:rsid w:val="00393479"/>
    <w:rsid w:val="003D0C65"/>
    <w:rsid w:val="003D5BCC"/>
    <w:rsid w:val="004458B0"/>
    <w:rsid w:val="004C265A"/>
    <w:rsid w:val="006200A9"/>
    <w:rsid w:val="006E0450"/>
    <w:rsid w:val="0073141D"/>
    <w:rsid w:val="007655B5"/>
    <w:rsid w:val="007B4AA8"/>
    <w:rsid w:val="00861DA6"/>
    <w:rsid w:val="00A96898"/>
    <w:rsid w:val="00C75AF0"/>
    <w:rsid w:val="00CB59F3"/>
    <w:rsid w:val="00D94EF0"/>
    <w:rsid w:val="00E91903"/>
    <w:rsid w:val="00F12E0A"/>
    <w:rsid w:val="00F40CB7"/>
    <w:rsid w:val="00F4146E"/>
    <w:rsid w:val="022305AA"/>
    <w:rsid w:val="02DD1139"/>
    <w:rsid w:val="04442A27"/>
    <w:rsid w:val="05481E04"/>
    <w:rsid w:val="05B96E86"/>
    <w:rsid w:val="073F7D55"/>
    <w:rsid w:val="0D394E38"/>
    <w:rsid w:val="0E165B11"/>
    <w:rsid w:val="0EAC71FC"/>
    <w:rsid w:val="0EB625F0"/>
    <w:rsid w:val="0F6D6E9F"/>
    <w:rsid w:val="10056408"/>
    <w:rsid w:val="113C7731"/>
    <w:rsid w:val="13773CBC"/>
    <w:rsid w:val="13ED39BB"/>
    <w:rsid w:val="14507847"/>
    <w:rsid w:val="1700379A"/>
    <w:rsid w:val="17804B60"/>
    <w:rsid w:val="17EA28F1"/>
    <w:rsid w:val="188D2373"/>
    <w:rsid w:val="1A690F0C"/>
    <w:rsid w:val="1AC03DCE"/>
    <w:rsid w:val="1BF16391"/>
    <w:rsid w:val="1C6A698A"/>
    <w:rsid w:val="1D9874F9"/>
    <w:rsid w:val="1E82404F"/>
    <w:rsid w:val="1EEA24CC"/>
    <w:rsid w:val="206F6C37"/>
    <w:rsid w:val="20ED194B"/>
    <w:rsid w:val="212A0506"/>
    <w:rsid w:val="230D108C"/>
    <w:rsid w:val="23CB2068"/>
    <w:rsid w:val="24AB5A30"/>
    <w:rsid w:val="24F30AAA"/>
    <w:rsid w:val="25754F98"/>
    <w:rsid w:val="261D3BA2"/>
    <w:rsid w:val="262F5611"/>
    <w:rsid w:val="27B318CA"/>
    <w:rsid w:val="2AE6632C"/>
    <w:rsid w:val="2C9A6EB6"/>
    <w:rsid w:val="2FDF76E7"/>
    <w:rsid w:val="304B4045"/>
    <w:rsid w:val="310015FF"/>
    <w:rsid w:val="31076BDE"/>
    <w:rsid w:val="311E229C"/>
    <w:rsid w:val="31241C5C"/>
    <w:rsid w:val="31666F32"/>
    <w:rsid w:val="32056DCD"/>
    <w:rsid w:val="33293250"/>
    <w:rsid w:val="355D16BA"/>
    <w:rsid w:val="374D1F65"/>
    <w:rsid w:val="37AB3C09"/>
    <w:rsid w:val="380005FE"/>
    <w:rsid w:val="38811F63"/>
    <w:rsid w:val="38D016D9"/>
    <w:rsid w:val="39201D65"/>
    <w:rsid w:val="3B013C08"/>
    <w:rsid w:val="3C37275E"/>
    <w:rsid w:val="3CDC2212"/>
    <w:rsid w:val="40102F66"/>
    <w:rsid w:val="45084B68"/>
    <w:rsid w:val="45653AD6"/>
    <w:rsid w:val="45762A71"/>
    <w:rsid w:val="47103AA0"/>
    <w:rsid w:val="48270AA7"/>
    <w:rsid w:val="486B1395"/>
    <w:rsid w:val="492754E9"/>
    <w:rsid w:val="4AA02A6C"/>
    <w:rsid w:val="4AFA4410"/>
    <w:rsid w:val="4CFA3959"/>
    <w:rsid w:val="4DE12859"/>
    <w:rsid w:val="4EC334D1"/>
    <w:rsid w:val="4F05311F"/>
    <w:rsid w:val="50C71278"/>
    <w:rsid w:val="512751CA"/>
    <w:rsid w:val="51EF3FAC"/>
    <w:rsid w:val="5459402A"/>
    <w:rsid w:val="553B68BE"/>
    <w:rsid w:val="5831631B"/>
    <w:rsid w:val="59B90810"/>
    <w:rsid w:val="5BDD17F7"/>
    <w:rsid w:val="5F752248"/>
    <w:rsid w:val="5F76202B"/>
    <w:rsid w:val="60390FC2"/>
    <w:rsid w:val="60E702A1"/>
    <w:rsid w:val="649F742C"/>
    <w:rsid w:val="656F68DF"/>
    <w:rsid w:val="6734690A"/>
    <w:rsid w:val="680253D2"/>
    <w:rsid w:val="69337971"/>
    <w:rsid w:val="693B28A6"/>
    <w:rsid w:val="69E869E9"/>
    <w:rsid w:val="6A681E15"/>
    <w:rsid w:val="6C2C4E2F"/>
    <w:rsid w:val="6D9C7683"/>
    <w:rsid w:val="6E2F4F37"/>
    <w:rsid w:val="6E3D61A8"/>
    <w:rsid w:val="6FE316D3"/>
    <w:rsid w:val="738069D6"/>
    <w:rsid w:val="73837109"/>
    <w:rsid w:val="75566DE6"/>
    <w:rsid w:val="75AD0391"/>
    <w:rsid w:val="764175A5"/>
    <w:rsid w:val="76813DCD"/>
    <w:rsid w:val="780C5192"/>
    <w:rsid w:val="792B710B"/>
    <w:rsid w:val="794A009C"/>
    <w:rsid w:val="79595890"/>
    <w:rsid w:val="7965322C"/>
    <w:rsid w:val="79B13681"/>
    <w:rsid w:val="79B53DAC"/>
    <w:rsid w:val="7A016F27"/>
    <w:rsid w:val="7B7E6275"/>
    <w:rsid w:val="7CB731DA"/>
    <w:rsid w:val="7D8B5D87"/>
    <w:rsid w:val="7DB64B7C"/>
    <w:rsid w:val="7DCC41BE"/>
    <w:rsid w:val="7DF93EAA"/>
    <w:rsid w:val="7E7073A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nhideWhenUsed="0" w:uiPriority="99" w:semiHidden="0"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nhideWhenUsed="0" w:uiPriority="99" w:semiHidden="0" w:name="HTML Acronym"/>
    <w:lsdException w:uiPriority="99" w:name="HTML Address"/>
    <w:lsdException w:uiPriority="99" w:name="HTML Cite"/>
    <w:lsdException w:unhideWhenUsed="0" w:uiPriority="99" w:semiHidden="0" w:name="HTML Code"/>
    <w:lsdException w:unhideWhenUsed="0" w:uiPriority="99" w:semiHidden="0" w:name="HTML Definition"/>
    <w:lsdException w:unhideWhenUsed="0" w:uiPriority="99" w:semiHidden="0" w:name="HTML Keyboard"/>
    <w:lsdException w:uiPriority="99" w:name="HTML Preformatted"/>
    <w:lsdException w:unhideWhenUsed="0" w:uiPriority="99" w:semiHidden="0"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6"/>
    <w:uiPriority w:val="99"/>
    <w:pPr>
      <w:tabs>
        <w:tab w:val="center" w:pos="4153"/>
        <w:tab w:val="right" w:pos="8306"/>
      </w:tabs>
      <w:snapToGrid w:val="0"/>
      <w:jc w:val="left"/>
    </w:pPr>
    <w:rPr>
      <w:sz w:val="18"/>
      <w:szCs w:val="18"/>
    </w:rPr>
  </w:style>
  <w:style w:type="paragraph" w:styleId="3">
    <w:name w:val="header"/>
    <w:basedOn w:val="1"/>
    <w:link w:val="17"/>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7">
    <w:name w:val="Strong"/>
    <w:basedOn w:val="6"/>
    <w:qFormat/>
    <w:uiPriority w:val="99"/>
    <w:rPr>
      <w:rFonts w:cs="Times New Roman"/>
      <w:b/>
    </w:rPr>
  </w:style>
  <w:style w:type="character" w:styleId="8">
    <w:name w:val="page number"/>
    <w:basedOn w:val="6"/>
    <w:qFormat/>
    <w:uiPriority w:val="99"/>
    <w:rPr>
      <w:rFonts w:cs="Times New Roman"/>
    </w:rPr>
  </w:style>
  <w:style w:type="character" w:styleId="9">
    <w:name w:val="FollowedHyperlink"/>
    <w:basedOn w:val="6"/>
    <w:uiPriority w:val="99"/>
    <w:rPr>
      <w:rFonts w:cs="Times New Roman"/>
      <w:color w:val="333333"/>
      <w:u w:val="single"/>
    </w:rPr>
  </w:style>
  <w:style w:type="character" w:styleId="10">
    <w:name w:val="HTML Definition"/>
    <w:basedOn w:val="6"/>
    <w:uiPriority w:val="99"/>
    <w:rPr>
      <w:rFonts w:cs="Times New Roman"/>
      <w:i/>
    </w:rPr>
  </w:style>
  <w:style w:type="character" w:styleId="11">
    <w:name w:val="HTML Acronym"/>
    <w:basedOn w:val="6"/>
    <w:uiPriority w:val="99"/>
    <w:rPr>
      <w:rFonts w:cs="Times New Roman"/>
    </w:rPr>
  </w:style>
  <w:style w:type="character" w:styleId="12">
    <w:name w:val="Hyperlink"/>
    <w:basedOn w:val="6"/>
    <w:uiPriority w:val="99"/>
    <w:rPr>
      <w:rFonts w:cs="Times New Roman"/>
      <w:color w:val="333333"/>
      <w:u w:val="single"/>
    </w:rPr>
  </w:style>
  <w:style w:type="character" w:styleId="13">
    <w:name w:val="HTML Code"/>
    <w:basedOn w:val="6"/>
    <w:uiPriority w:val="99"/>
    <w:rPr>
      <w:rFonts w:ascii="monospace" w:hAnsi="monospace" w:eastAsia="Times New Roman" w:cs="monospace"/>
      <w:sz w:val="21"/>
      <w:szCs w:val="21"/>
    </w:rPr>
  </w:style>
  <w:style w:type="character" w:styleId="14">
    <w:name w:val="HTML Keyboard"/>
    <w:basedOn w:val="6"/>
    <w:uiPriority w:val="99"/>
    <w:rPr>
      <w:rFonts w:ascii="monospace" w:hAnsi="monospace" w:eastAsia="Times New Roman" w:cs="monospace"/>
      <w:sz w:val="21"/>
      <w:szCs w:val="21"/>
    </w:rPr>
  </w:style>
  <w:style w:type="character" w:styleId="15">
    <w:name w:val="HTML Sample"/>
    <w:basedOn w:val="6"/>
    <w:uiPriority w:val="99"/>
    <w:rPr>
      <w:rFonts w:ascii="monospace" w:hAnsi="monospace" w:eastAsia="Times New Roman" w:cs="monospace"/>
      <w:sz w:val="21"/>
      <w:szCs w:val="21"/>
    </w:rPr>
  </w:style>
  <w:style w:type="character" w:customStyle="1" w:styleId="16">
    <w:name w:val="Footer Char"/>
    <w:basedOn w:val="6"/>
    <w:link w:val="2"/>
    <w:semiHidden/>
    <w:uiPriority w:val="99"/>
    <w:rPr>
      <w:sz w:val="18"/>
      <w:szCs w:val="18"/>
    </w:rPr>
  </w:style>
  <w:style w:type="character" w:customStyle="1" w:styleId="17">
    <w:name w:val="Header Char"/>
    <w:basedOn w:val="6"/>
    <w:link w:val="3"/>
    <w:qFormat/>
    <w:locked/>
    <w:uiPriority w:val="99"/>
    <w:rPr>
      <w:rFonts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微软公司</Company>
  <Pages>6</Pages>
  <Words>379</Words>
  <Characters>2165</Characters>
  <Lines>0</Lines>
  <Paragraphs>0</Paragraphs>
  <TotalTime>30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2020-05-21T00:45:00Z</dcterms:created>
  <dc:creator>豆豆妈</dc:creator>
  <cp:lastModifiedBy>豆豆妈</cp:lastModifiedBy>
  <dcterms:modified xsi:type="dcterms:W3CDTF">2020-07-15T02:58:57Z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