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方正小标宋简体"/>
          <w:b/>
          <w:bCs/>
          <w:color w:val="FF0000"/>
          <w:spacing w:val="104"/>
          <w:kern w:val="10"/>
          <w:sz w:val="112"/>
          <w:szCs w:val="36"/>
        </w:rPr>
      </w:pPr>
      <w:r>
        <w:rPr>
          <w:rFonts w:hint="eastAsia" w:eastAsia="方正小标宋简体"/>
          <w:b/>
          <w:bCs/>
          <w:color w:val="FF0000"/>
          <w:spacing w:val="104"/>
          <w:kern w:val="10"/>
          <w:sz w:val="112"/>
          <w:szCs w:val="36"/>
        </w:rPr>
        <w:t>旌德金融动态</w:t>
      </w:r>
    </w:p>
    <w:p>
      <w:pPr>
        <w:rPr>
          <w:bCs/>
          <w:spacing w:val="104"/>
          <w:kern w:val="10"/>
          <w:sz w:val="24"/>
          <w:szCs w:val="36"/>
        </w:rPr>
      </w:pPr>
    </w:p>
    <w:p>
      <w:pPr>
        <w:jc w:val="center"/>
        <w:rPr>
          <w:rFonts w:eastAsia="楷体_GB2312"/>
          <w:bCs/>
          <w:sz w:val="32"/>
          <w:szCs w:val="36"/>
        </w:rPr>
      </w:pPr>
      <w:r>
        <w:rPr>
          <w:rFonts w:hint="eastAsia" w:eastAsia="楷体_GB2312"/>
          <w:bCs/>
          <w:sz w:val="32"/>
          <w:szCs w:val="36"/>
        </w:rPr>
        <w:t>（第七期）</w:t>
      </w:r>
    </w:p>
    <w:p>
      <w:pPr>
        <w:rPr>
          <w:rFonts w:ascii="仿宋" w:hAnsi="仿宋" w:eastAsia="仿宋"/>
          <w:bCs/>
          <w:sz w:val="32"/>
          <w:szCs w:val="36"/>
        </w:rPr>
      </w:pPr>
      <w:r>
        <w:rPr>
          <w:rFonts w:hint="eastAsia" w:ascii="仿宋" w:hAnsi="仿宋" w:eastAsia="仿宋"/>
          <w:bCs/>
          <w:color w:val="000000"/>
          <w:w w:val="90"/>
          <w:sz w:val="32"/>
          <w:szCs w:val="36"/>
        </w:rPr>
        <w:t xml:space="preserve">旌德县地方金融监督管理局                 </w:t>
      </w:r>
      <w:r>
        <w:rPr>
          <w:rFonts w:ascii="仿宋" w:hAnsi="仿宋" w:eastAsia="仿宋"/>
          <w:b/>
          <w:bCs/>
          <w:sz w:val="28"/>
          <w:szCs w:val="36"/>
        </w:rPr>
        <w:t>2020</w:t>
      </w:r>
      <w:r>
        <w:rPr>
          <w:rFonts w:hint="eastAsia" w:ascii="仿宋" w:hAnsi="仿宋" w:eastAsia="仿宋"/>
          <w:bCs/>
          <w:sz w:val="32"/>
          <w:szCs w:val="36"/>
        </w:rPr>
        <w:t>年8月1</w:t>
      </w:r>
      <w:r>
        <w:rPr>
          <w:rFonts w:hint="eastAsia" w:ascii="仿宋" w:hAnsi="仿宋" w:eastAsia="仿宋"/>
          <w:bCs/>
          <w:sz w:val="32"/>
          <w:szCs w:val="36"/>
          <w:lang w:val="en-US" w:eastAsia="zh-CN"/>
        </w:rPr>
        <w:t>7</w:t>
      </w:r>
      <w:bookmarkStart w:id="0" w:name="_GoBack"/>
      <w:bookmarkEnd w:id="0"/>
      <w:r>
        <w:rPr>
          <w:rFonts w:hint="eastAsia" w:ascii="仿宋" w:hAnsi="仿宋" w:eastAsia="仿宋"/>
          <w:bCs/>
          <w:sz w:val="32"/>
          <w:szCs w:val="36"/>
        </w:rPr>
        <w:t>日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350520</wp:posOffset>
                </wp:positionV>
                <wp:extent cx="1904365" cy="545465"/>
                <wp:effectExtent l="19050" t="19050" r="19685" b="26035"/>
                <wp:wrapTight wrapText="bothSides">
                  <wp:wrapPolygon>
                    <wp:start x="-217" y="-758"/>
                    <wp:lineTo x="-217" y="21979"/>
                    <wp:lineTo x="21817" y="21979"/>
                    <wp:lineTo x="21817" y="-758"/>
                    <wp:lineTo x="-217" y="-758"/>
                  </wp:wrapPolygon>
                </wp:wrapTight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4365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楷体_GB2312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hint="eastAsia" w:eastAsia="楷体_GB2312"/>
                                <w:b/>
                                <w:sz w:val="44"/>
                              </w:rPr>
                              <w:t>金融运营动态</w:t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55pt;margin-top:27.6pt;height:42.95pt;width:149.95pt;mso-wrap-distance-left:9pt;mso-wrap-distance-right:9pt;mso-wrap-style:none;z-index:-251658240;mso-width-relative:page;mso-height-relative:page;" fillcolor="#FFFFFF" filled="t" stroked="t" coordsize="21600,21600" wrapcoords="-217 -758 -217 21979 21817 21979 21817 -758 -217 -758" o:gfxdata="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No8/jTZAAAACAEAAA8AAAAAAAAAAQAgAAAAIgAAAGRycy9kb3ducmV2&#10;LnhtbFBLAQIUABQAAAAIAIdO4kDQFXau+wEAAAMEAAAOAAAAAAAAAAEAIAAAACgBAABkcnMvZTJv&#10;RG9jLnhtbFBLBQYAAAAABgAGAFkBAACVBQAAAAA=&#10;">
                <v:fill on="t" focussize="0,0"/>
                <v:stroke weight="3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楷体_GB2312"/>
                          <w:b/>
                          <w:sz w:val="44"/>
                        </w:rPr>
                      </w:pPr>
                      <w:r>
                        <w:rPr>
                          <w:rFonts w:hint="eastAsia" w:eastAsia="楷体_GB2312"/>
                          <w:b/>
                          <w:sz w:val="44"/>
                        </w:rPr>
                        <w:t>金融运营动态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5600700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1778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pt;margin-top:0pt;height:0pt;width:441pt;z-index:251657216;mso-width-relative:page;mso-height-relative:page;" filled="f" stroked="t" coordsize="21600,21600" o:gfxdata="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fRf6XWAAAABQEAAA8A&#10;AAAAAAAAAQAgAAAAIgAAAGRycy9kb3ducmV2LnhtbFBLAQIUABQAAAAIAIdO4kD4iytR4AEAAKUD&#10;AAAOAAAAAAAAAAEAIAAAACUBAABkcnMvZTJvRG9jLnhtbFBLBQYAAAAABgAGAFkBAAB3BQAAAAA=&#10;">
                <v:fill on="f" focussize="0,0"/>
                <v:stroke weight="1.4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napToGrid w:val="0"/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7月末，全县人民币各项存款91.66亿元，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新增存款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8.33亿元，</w:t>
      </w:r>
      <w:r>
        <w:rPr>
          <w:rFonts w:hint="eastAsia" w:ascii="仿宋_GB2312" w:hAnsi="仿宋_GB2312" w:eastAsia="仿宋_GB2312" w:cs="仿宋_GB2312"/>
          <w:sz w:val="32"/>
          <w:szCs w:val="32"/>
        </w:rPr>
        <w:t>比上月增加1.37亿元；同比增加7.78亿元、增速9.27%。人民币各项贷款62.75亿元，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新增贷款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6.80亿元，</w:t>
      </w:r>
      <w:r>
        <w:rPr>
          <w:rFonts w:hint="eastAsia" w:ascii="仿宋_GB2312" w:hAnsi="仿宋_GB2312" w:eastAsia="仿宋_GB2312" w:cs="仿宋_GB2312"/>
          <w:sz w:val="32"/>
          <w:szCs w:val="32"/>
        </w:rPr>
        <w:t>比上月增加1.63亿元；同比增加9.62亿元、增速18.11%。我县存贷款余额加权平均增长速度12.86%，较上月增加2.12个百分点，高于宣城市1.57个百分点。</w:t>
      </w:r>
    </w:p>
    <w:p>
      <w:pPr>
        <w:pStyle w:val="2"/>
        <w:spacing w:line="360" w:lineRule="auto"/>
        <w:ind w:firstLine="360" w:firstLineChars="200"/>
        <w:rPr>
          <w:rFonts w:ascii="仿宋_GB2312" w:hAnsi="仿宋_GB2312" w:eastAsia="仿宋_GB2312" w:cs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72390</wp:posOffset>
                </wp:positionV>
                <wp:extent cx="1904365" cy="530860"/>
                <wp:effectExtent l="19050" t="19050" r="19685" b="21590"/>
                <wp:wrapTight wrapText="bothSides">
                  <wp:wrapPolygon>
                    <wp:start x="-217" y="-771"/>
                    <wp:lineTo x="-217" y="21986"/>
                    <wp:lineTo x="21817" y="21986"/>
                    <wp:lineTo x="21817" y="-771"/>
                    <wp:lineTo x="-217" y="-771"/>
                  </wp:wrapPolygon>
                </wp:wrapTight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904365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楷体_GB2312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hint="eastAsia" w:eastAsia="楷体_GB2312"/>
                                <w:b/>
                                <w:sz w:val="44"/>
                              </w:rPr>
                              <w:t>金融服务专栏</w:t>
                            </w:r>
                          </w:p>
                        </w:txbxContent>
                      </wps:txbx>
                      <wps:bodyPr wrap="non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y;margin-left:1.3pt;margin-top:5.7pt;height:41.8pt;width:149.95pt;mso-wrap-distance-left:9pt;mso-wrap-distance-right:9pt;mso-wrap-style:none;z-index:-251654144;mso-width-relative:page;mso-height-relative:page;" fillcolor="#FFFFFF" filled="t" stroked="t" coordsize="21600,21600" wrapcoords="-217 -771 -217 21986 21817 21986 21817 -771 -217 -771" o:gfxdata="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nGuBE1QAAAAcBAAAPAAAAAAAAAAEAIAAA&#10;ACIAAABkcnMvZG93bnJldi54bWxQSwECFAAUAAAACACHTuJA/Nns0g8CAAApBAAADgAAAAAAAAAB&#10;ACAAAAAkAQAAZHJzL2Uyb0RvYy54bWxQSwUGAAAAAAYABgBZAQAApQUAAAAA&#10;">
                <v:fill on="t" focussize="0,0"/>
                <v:stroke weight="3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楷体_GB2312"/>
                          <w:b/>
                          <w:sz w:val="44"/>
                        </w:rPr>
                      </w:pPr>
                      <w:r>
                        <w:rPr>
                          <w:rFonts w:hint="eastAsia" w:eastAsia="楷体_GB2312"/>
                          <w:b/>
                          <w:sz w:val="44"/>
                        </w:rPr>
                        <w:t>金融服务专栏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>
      <w:pPr>
        <w:pStyle w:val="2"/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今年以来，旌德县金融系统将金融服务实体经济恢复发展摆在更加突出的位置，积极落实“稳金融”决策部署，精准发力，为实体经济发展注入金融活水。</w:t>
      </w:r>
    </w:p>
    <w:p>
      <w:pPr>
        <w:pStyle w:val="2"/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释放政策红利。用足用好国家疫情防控专项再贷款、复工复产再贷款再贴现等政策，疫情发生以来，为辖内两家法人机构发放复工复产再贷款专用额度1.04亿元，共支持31户中小微、个体工商户及小微企业主复工复产。</w:t>
      </w:r>
    </w:p>
    <w:p>
      <w:pPr>
        <w:pStyle w:val="2"/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创新产品，助力小微企业。国有商业银行积极作为，全力做好疫情防控时期普惠金融服务，创新推出“云义贷”、</w:t>
      </w:r>
      <w:r>
        <w:rPr>
          <w:rFonts w:hint="eastAsia" w:ascii="仿宋" w:hAnsi="仿宋" w:eastAsia="仿宋" w:cs="仿宋"/>
          <w:sz w:val="32"/>
          <w:szCs w:val="32"/>
        </w:rPr>
        <w:t>“防疫贷”、“</w:t>
      </w:r>
      <w:r>
        <w:rPr>
          <w:rFonts w:hint="eastAsia" w:ascii="仿宋_GB2312" w:hAnsi="微软雅黑" w:eastAsia="仿宋_GB2312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科技抗疫贷</w:t>
      </w:r>
      <w:r>
        <w:rPr>
          <w:rFonts w:hint="eastAsia" w:ascii="仿宋" w:hAnsi="仿宋" w:eastAsia="仿宋" w:cs="仿宋"/>
          <w:sz w:val="32"/>
          <w:szCs w:val="32"/>
        </w:rPr>
        <w:t>”等金融产品，1-7月，为1578户重点保障企业、小微企业及个体工商户解决1.96亿元贷款需求。</w:t>
      </w:r>
    </w:p>
    <w:p>
      <w:pPr>
        <w:pStyle w:val="2"/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畅通融资服务渠道。通过新型政银担、税融通、续贷过桥金融服务，提升担保服务能力。7月末兴业融资担保公司在保64106万元，新增政银担37621万元(其中税融通3766万元)，续贷过桥19517万元，周转次数13次。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271780</wp:posOffset>
                </wp:positionV>
                <wp:extent cx="1943100" cy="501650"/>
                <wp:effectExtent l="19050" t="19050" r="19050" b="31750"/>
                <wp:wrapNone/>
                <wp:docPr id="9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楷体_GB2312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hint="eastAsia" w:eastAsia="楷体_GB2312"/>
                                <w:b/>
                                <w:sz w:val="44"/>
                              </w:rPr>
                              <w:t>金融宣传专栏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0.05pt;margin-top:21.4pt;height:39.5pt;width:153pt;z-index:251660288;mso-width-relative:page;mso-height-relative:page;" fillcolor="#FFFFFF" filled="t" stroked="t" coordsize="21600,21600" o:gfxdata="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ME33r9YAAAAJAQAADwAAAAAAAAABACAAAAAiAAAAZHJzL2Rvd25yZXYueG1sUEsB&#10;AhQAFAAAAAgAh07iQNd8h0X3AQAA9wMAAA4AAAAAAAAAAQAgAAAAJQEAAGRycy9lMm9Eb2MueG1s&#10;UEsFBgAAAAAGAAYAWQEAAI4FAAAAAA==&#10;">
                <v:fill on="t" focussize="0,0"/>
                <v:stroke weight="3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楷体_GB2312"/>
                          <w:b/>
                          <w:sz w:val="44"/>
                        </w:rPr>
                      </w:pPr>
                      <w:r>
                        <w:rPr>
                          <w:rFonts w:hint="eastAsia" w:eastAsia="楷体_GB2312"/>
                          <w:b/>
                          <w:sz w:val="44"/>
                        </w:rPr>
                        <w:t>金融宣传专栏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2"/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352425</wp:posOffset>
            </wp:positionV>
            <wp:extent cx="3552190" cy="2665095"/>
            <wp:effectExtent l="0" t="0" r="10160" b="1905"/>
            <wp:wrapSquare wrapText="bothSides"/>
            <wp:docPr id="2" name="图片 2" descr="微信图片_20200814104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8141046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各银行业金融机构充分发挥地方金融服务作用，为小微企业、个体工商户、新型农业经营主体纾困解难，用金融力量护航“六稳”“六保”。</w:t>
      </w:r>
    </w:p>
    <w:p>
      <w:pPr>
        <w:pStyle w:val="2"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跟进服务，持续开展“百名行长进千企”活动。通过线上顾问、远程服务等方式逐户了解企业金融需求，后期实地走访、填写推广统计表，各金融机构负责人主动带队深入企业考察调研。累计对接企业529户，为307户企业解决47152万元贷款支持。</w:t>
      </w:r>
    </w:p>
    <w:p>
      <w:pPr>
        <w:pStyle w:val="2"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一户一策，严格落实信贷政策要求。对受疫情影响的中小微企业贷款风险进行分类处置，实行一户一策，分别采取增贷、续贷、展期、缓息、降息等不同方式，为中小微企业做好全面金融服务。受疫情影响，旌德凯瑞假日酒店损失严重，在酒店结欠贷款即将到期之际，旌德农商行为原欠贷款277万元办理贷款展期，并为其降息，以实际行动帮助企业渡过难关。</w:t>
      </w:r>
    </w:p>
    <w:p>
      <w:pPr>
        <w:pStyle w:val="2"/>
        <w:spacing w:line="360" w:lineRule="auto"/>
        <w:ind w:firstLine="360" w:firstLineChars="200"/>
        <w:rPr>
          <w:rFonts w:ascii="仿宋" w:hAnsi="仿宋" w:eastAsia="仿宋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254635</wp:posOffset>
                </wp:positionV>
                <wp:extent cx="1943100" cy="501650"/>
                <wp:effectExtent l="19050" t="19050" r="19050" b="317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楷体_GB2312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hint="eastAsia" w:eastAsia="楷体_GB2312"/>
                                <w:b/>
                                <w:sz w:val="44"/>
                              </w:rPr>
                              <w:t>金融监管专栏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7pt;margin-top:20.05pt;height:39.5pt;width:153pt;z-index:251659264;mso-width-relative:page;mso-height-relative:page;" fillcolor="#FFFFFF" filled="t" stroked="t" coordsize="21600,21600" o:gfxdata="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1U82q2AAAAAoBAAAPAAAAAAAAAAEAIAAAACIAAABkcnMvZG93bnJldi54bWxQ&#10;SwECFAAUAAAACACHTuJA7CtkrvcBAAD3AwAADgAAAAAAAAABACAAAAAnAQAAZHJzL2Uyb0RvYy54&#10;bWxQSwUGAAAAAAYABgBZAQAAkAUAAAAA&#10;">
                <v:fill on="t" focussize="0,0"/>
                <v:stroke weight="3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楷体_GB2312"/>
                          <w:b/>
                          <w:sz w:val="44"/>
                        </w:rPr>
                      </w:pPr>
                      <w:r>
                        <w:rPr>
                          <w:rFonts w:hint="eastAsia" w:eastAsia="楷体_GB2312"/>
                          <w:b/>
                          <w:sz w:val="44"/>
                        </w:rPr>
                        <w:t>金融监管专栏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pStyle w:val="2"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pStyle w:val="2"/>
        <w:spacing w:line="360" w:lineRule="auto"/>
        <w:ind w:firstLine="360" w:firstLineChars="200"/>
        <w:rPr>
          <w:rFonts w:ascii="仿宋" w:hAnsi="仿宋" w:eastAsia="仿宋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8255</wp:posOffset>
            </wp:positionV>
            <wp:extent cx="3693160" cy="2456815"/>
            <wp:effectExtent l="0" t="0" r="2540" b="635"/>
            <wp:wrapSquare wrapText="bothSides"/>
            <wp:docPr id="1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316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为扎实推进扫黑除恶专项斗争“六清”行动，确保扫黑除恶专项斗争收官之年取得全面胜利，</w:t>
      </w:r>
      <w:r>
        <w:rPr>
          <w:rFonts w:ascii="仿宋" w:hAnsi="仿宋" w:eastAsia="仿宋"/>
          <w:sz w:val="32"/>
          <w:szCs w:val="32"/>
        </w:rPr>
        <w:t>7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ascii="仿宋" w:hAnsi="仿宋" w:eastAsia="仿宋"/>
          <w:sz w:val="32"/>
          <w:szCs w:val="32"/>
        </w:rPr>
        <w:t>23</w:t>
      </w:r>
      <w:r>
        <w:rPr>
          <w:rFonts w:hint="eastAsia" w:ascii="仿宋" w:hAnsi="仿宋" w:eastAsia="仿宋"/>
          <w:sz w:val="32"/>
          <w:szCs w:val="32"/>
        </w:rPr>
        <w:t>日，县纪委、监委书记王沧浪同志对县财政局（金融监管局）扫黑除恶专项斗争工作开展督查，督导组通过听取扫黑除恶专项斗争工作汇报、查看软件资料、现场交流等方式，对扫黑除恶专项斗争“六清”行动工作开展全面督导，督导中充分肯定了思想认识、制度建设、重点工作、宣传等方面取得的成绩，同时要求务必要保持高压态势，紧绷弦不放松，保持不达目的决不收兵的决心，按照省、市、县扫黑除恶工作部署，认真推进扫黑除恶专项斗争六清行动“行业清源”工作，坚决打赢地方金融领域扫黑除恶专项斗争。</w:t>
      </w:r>
    </w:p>
    <w:p>
      <w:pPr>
        <w:pStyle w:val="2"/>
        <w:rPr>
          <w:rFonts w:ascii="仿宋" w:hAnsi="仿宋" w:eastAsia="仿宋" w:cs="仿宋"/>
          <w:sz w:val="30"/>
          <w:szCs w:val="30"/>
        </w:rPr>
      </w:pPr>
    </w:p>
    <w:p>
      <w:pPr>
        <w:pStyle w:val="2"/>
        <w:rPr>
          <w:rFonts w:ascii="仿宋" w:hAnsi="仿宋" w:eastAsia="仿宋" w:cs="仿宋"/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26035</wp:posOffset>
                </wp:positionV>
                <wp:extent cx="1947545" cy="450215"/>
                <wp:effectExtent l="19050" t="19050" r="33655" b="26035"/>
                <wp:wrapTight wrapText="bothSides">
                  <wp:wrapPolygon>
                    <wp:start x="-212" y="-919"/>
                    <wp:lineTo x="-212" y="22060"/>
                    <wp:lineTo x="21812" y="22060"/>
                    <wp:lineTo x="21812" y="-919"/>
                    <wp:lineTo x="-212" y="-919"/>
                  </wp:wrapPolygon>
                </wp:wrapTight>
                <wp:docPr id="4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楷体_GB2312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hint="eastAsia" w:eastAsia="楷体_GB2312"/>
                                <w:b/>
                                <w:sz w:val="44"/>
                              </w:rPr>
                              <w:t>金融扶贫专栏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.5pt;margin-top:2.05pt;height:35.45pt;width:153.35pt;mso-wrap-distance-left:9pt;mso-wrap-distance-right:9pt;z-index:-251655168;mso-width-relative:page;mso-height-relative:page;" fillcolor="#FFFFFF" filled="t" stroked="t" coordsize="21600,21600" wrapcoords="-212 -919 -212 22060 21812 22060 21812 -919 -212 -919" o:gfxdata="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E3HuDVAAAABgEAAA8AAAAAAAAAAQAgAAAAIgAAAGRycy9kb3ducmV2LnhtbFBLAQIU&#10;ABQAAAAIAIdO4kDJwdJU9gEAAPcDAAAOAAAAAAAAAAEAIAAAACQBAABkcnMvZTJvRG9jLnhtbFBL&#10;BQYAAAAABgAGAFkBAACMBQAAAAA=&#10;">
                <v:fill on="t" focussize="0,0"/>
                <v:stroke weight="3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楷体_GB2312"/>
                          <w:b/>
                          <w:sz w:val="44"/>
                        </w:rPr>
                      </w:pPr>
                      <w:r>
                        <w:rPr>
                          <w:rFonts w:hint="eastAsia" w:eastAsia="楷体_GB2312"/>
                          <w:b/>
                          <w:sz w:val="44"/>
                        </w:rPr>
                        <w:t>金融扶贫专栏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>
      <w:pPr>
        <w:pStyle w:val="2"/>
        <w:rPr>
          <w:rFonts w:ascii="仿宋" w:hAnsi="仿宋" w:eastAsia="仿宋" w:cs="仿宋"/>
          <w:sz w:val="30"/>
          <w:szCs w:val="30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44450</wp:posOffset>
            </wp:positionV>
            <wp:extent cx="3618230" cy="2553970"/>
            <wp:effectExtent l="0" t="0" r="1270" b="17780"/>
            <wp:wrapSquare wrapText="bothSides"/>
            <wp:docPr id="3" name="图片 3" descr="微信图片_2020081317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8131723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截止7月底，全县扶贫小额信贷贷款余额205.8万元，涉及贫困户50户，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2020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年累计投放44户，183.2万元。</w:t>
      </w:r>
    </w:p>
    <w:p>
      <w:pPr>
        <w:pStyle w:val="4"/>
        <w:shd w:val="clear" w:color="auto" w:fill="FFFFFF"/>
        <w:spacing w:before="0" w:beforeAutospacing="0" w:after="0" w:afterAutospacing="0"/>
        <w:ind w:firstLine="960" w:firstLineChars="300"/>
        <w:jc w:val="both"/>
        <w:rPr>
          <w:rFonts w:ascii="仿宋_GB2312" w:hAnsi="仿宋_GB2312" w:eastAsia="仿宋_GB2312" w:cs="仿宋_GB2312"/>
          <w:color w:val="00000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  <w:t>陈长红是俞村镇杨墅村建档立卡贫困户，2018年6月份成功当选“旌德好人”,陈长红家中有5口人，自身有视力四级残疾，妻子李三仂肢体四级残疾，受先天条件所致，家庭生活极度困难。在村里精准扶贫政策的帮扶下，筹集到一笔启动资金，购买鸡苗300只，办起了家庭农场，但因为缺少养殖和销售的经验，收益不理想。县农商行主动上门走访，实地调查，为陈长红发放了小额扶贫贷款。</w:t>
      </w:r>
    </w:p>
    <w:p>
      <w:pPr>
        <w:pStyle w:val="2"/>
      </w:pPr>
    </w:p>
    <w:p>
      <w:pPr>
        <w:pStyle w:val="2"/>
        <w:spacing w:line="360" w:lineRule="auto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陈长红用该笔贷款购买了7头黄牛，吸取到上一次的教训，经过不懈努力，养殖场很快有了起色，利润也可观起来，为此他还注册了“长红家庭农场”，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目前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家庭农场已拥有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牛72头，鸡3000只，母猪30头，小猪10头。带动贫困户4人（长期务工2人），给贫困户带来平均年经济效益约2万元。</w:t>
      </w:r>
    </w:p>
    <w:p>
      <w:pPr>
        <w:pStyle w:val="2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2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24130</wp:posOffset>
                </wp:positionV>
                <wp:extent cx="1933575" cy="495300"/>
                <wp:effectExtent l="19050" t="19050" r="28575" b="1905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楷体_GB2312" w:eastAsia="楷体_GB2312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b/>
                                <w:sz w:val="44"/>
                                <w:szCs w:val="44"/>
                              </w:rPr>
                              <w:t>金融政策专栏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75pt;margin-top:1.9pt;height:39pt;width:152.25pt;z-index:251656192;mso-width-relative:page;mso-height-relative:page;" fillcolor="#FFFFFF" filled="t" stroked="t" coordsize="21600,21600" o:gfxdata="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PT4i6zVAAAABgEAAA8AAAAAAAAAAQAgAAAAIgAAAGRycy9kb3ducmV2LnhtbFBL&#10;AQIUABQAAAAIAIdO4kDafuqK+QEAAPcDAAAOAAAAAAAAAAEAIAAAACQBAABkcnMvZTJvRG9jLnht&#10;bFBLBQYAAAAABgAGAFkBAACPBQAAAAA=&#10;">
                <v:fill on="t" focussize="0,0"/>
                <v:stroke weight="3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楷体_GB2312" w:eastAsia="楷体_GB2312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楷体_GB2312" w:eastAsia="楷体_GB2312"/>
                          <w:b/>
                          <w:sz w:val="44"/>
                          <w:szCs w:val="44"/>
                        </w:rPr>
                        <w:t>金融政策专栏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2"/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2"/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银保监会7月份召开2020年年中工作座谈会，安排下半年重点任务，包括落实落细金融纾困政策、深化金融领域反腐败工作等。</w:t>
      </w:r>
    </w:p>
    <w:p>
      <w:pPr>
        <w:pStyle w:val="2"/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银保监会表示，要进一步落实落细各项金融纾困政策，聚焦暂时遇困但仍有前景的企业，有效防范道德风险，防止“僵尸企业”搭便车。综合采取坚决整治不当收费、合理降低费率、加大贷款优惠等措施，降低企业融资成本。大幅增加先进制造业和战略性新兴产业中长期资金支持，精准支持国家重大区域发展战略和“两新一重”项目建设。</w:t>
      </w:r>
    </w:p>
    <w:p>
      <w:pPr>
        <w:pStyle w:val="2"/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银保监会表示，要牢牢守住不发生系统性金融风险底线。提早谋划应对银行业不良资产大幅增长，做实利润、提足拨备、补充资本，增强风险抵御能力。坚决防止影子银行死灰复燃、房地产贷款乱象回潮和盲目扩张粗放经营卷土重来。确保如期完成网贷风险专项整治，实现风险出清。依法依规处置不法金融集团和重大风险事件等。</w:t>
      </w:r>
    </w:p>
    <w:p>
      <w:pPr>
        <w:pStyle w:val="2"/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2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pStyle w:val="2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660" w:lineRule="exact"/>
        <w:ind w:firstLine="668" w:firstLineChars="209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20"/>
        <w:jc w:val="both"/>
        <w:rPr>
          <w:rFonts w:ascii="仿宋_GB2312" w:hAnsi="仿宋_GB2312" w:eastAsia="仿宋_GB2312" w:cs="仿宋_GB2312"/>
          <w:color w:val="000000"/>
          <w:kern w:val="2"/>
          <w:sz w:val="32"/>
          <w:szCs w:val="32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20"/>
        <w:jc w:val="both"/>
        <w:rPr>
          <w:rFonts w:ascii="仿宋_GB2312" w:hAnsi="仿宋_GB2312" w:eastAsia="仿宋_GB2312" w:cs="仿宋_GB2312"/>
          <w:color w:val="000000"/>
          <w:kern w:val="2"/>
          <w:sz w:val="32"/>
          <w:szCs w:val="32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20"/>
        <w:jc w:val="both"/>
        <w:rPr>
          <w:rFonts w:ascii="仿宋_GB2312" w:hAnsi="仿宋_GB2312" w:eastAsia="仿宋_GB2312" w:cs="仿宋_GB2312"/>
          <w:color w:val="000000"/>
          <w:kern w:val="2"/>
          <w:sz w:val="32"/>
          <w:szCs w:val="32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20"/>
        <w:jc w:val="both"/>
        <w:rPr>
          <w:rFonts w:ascii="仿宋_GB2312" w:hAnsi="仿宋_GB2312" w:eastAsia="仿宋_GB2312" w:cs="仿宋_GB2312"/>
          <w:color w:val="000000"/>
          <w:kern w:val="2"/>
          <w:sz w:val="32"/>
          <w:szCs w:val="32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20"/>
        <w:jc w:val="both"/>
        <w:rPr>
          <w:rFonts w:ascii="仿宋_GB2312" w:hAnsi="仿宋_GB2312" w:eastAsia="仿宋_GB2312" w:cs="仿宋_GB2312"/>
          <w:color w:val="000000"/>
          <w:kern w:val="2"/>
          <w:sz w:val="32"/>
          <w:szCs w:val="32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20"/>
        <w:jc w:val="both"/>
        <w:rPr>
          <w:rFonts w:ascii="仿宋_GB2312" w:hAnsi="仿宋_GB2312" w:eastAsia="仿宋_GB2312" w:cs="仿宋_GB2312"/>
          <w:color w:val="000000"/>
          <w:kern w:val="2"/>
          <w:sz w:val="32"/>
          <w:szCs w:val="32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20"/>
        <w:jc w:val="both"/>
        <w:rPr>
          <w:rFonts w:ascii="仿宋_GB2312" w:hAnsi="仿宋_GB2312" w:eastAsia="仿宋_GB2312" w:cs="仿宋_GB2312"/>
          <w:color w:val="000000"/>
          <w:kern w:val="2"/>
          <w:sz w:val="32"/>
          <w:szCs w:val="32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20"/>
        <w:jc w:val="both"/>
        <w:rPr>
          <w:rFonts w:ascii="仿宋_GB2312" w:hAnsi="仿宋_GB2312" w:eastAsia="仿宋_GB2312" w:cs="仿宋_GB2312"/>
          <w:color w:val="000000"/>
          <w:kern w:val="2"/>
          <w:sz w:val="32"/>
          <w:szCs w:val="32"/>
        </w:rPr>
      </w:pPr>
    </w:p>
    <w:p>
      <w:pPr>
        <w:pStyle w:val="4"/>
        <w:shd w:val="clear" w:color="auto" w:fill="FFFFFF"/>
        <w:spacing w:before="0" w:beforeAutospacing="0" w:after="0" w:afterAutospacing="0"/>
        <w:ind w:firstLine="420"/>
        <w:jc w:val="both"/>
        <w:rPr>
          <w:rFonts w:ascii="仿宋_GB2312" w:hAnsi="仿宋_GB2312" w:eastAsia="仿宋_GB2312" w:cs="仿宋_GB2312"/>
          <w:color w:val="000000"/>
          <w:kern w:val="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 xml:space="preserve">    </w:t>
      </w:r>
      <w:r>
        <w:rPr>
          <w:rFonts w:ascii="仿宋_GB2312" w:hAnsi="仿宋_GB2312" w:eastAsia="仿宋_GB2312" w:cs="仿宋_GB2312"/>
          <w:b/>
          <w:bCs/>
          <w:sz w:val="32"/>
          <w:szCs w:val="32"/>
        </w:rPr>
        <w:t xml:space="preserve">                           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 xml:space="preserve">                  </w:t>
      </w:r>
    </w:p>
    <w:p>
      <w:pPr>
        <w:pBdr>
          <w:top w:val="single" w:color="auto" w:sz="4" w:space="1"/>
        </w:pBdr>
        <w:ind w:left="560" w:hanging="560" w:hangingChars="200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hAnsi="宋体" w:eastAsia="仿宋_GB2312"/>
          <w:sz w:val="28"/>
          <w:szCs w:val="28"/>
        </w:rPr>
        <w:t>报：县委办、人大办、政府办、政协办、各镇人民政府、县直各单位</w:t>
      </w:r>
      <w:r>
        <w:rPr>
          <w:rFonts w:hint="eastAsia" w:ascii="仿宋_GB2312" w:hAnsi="宋体" w:eastAsia="仿宋_GB2312"/>
          <w:sz w:val="28"/>
          <w:szCs w:val="28"/>
          <w:lang w:eastAsia="zh-CN"/>
        </w:rPr>
        <w:t>、四送一服办公室</w:t>
      </w:r>
    </w:p>
    <w:p>
      <w:pPr>
        <w:pBdr>
          <w:bottom w:val="single" w:color="auto" w:sz="12" w:space="1"/>
        </w:pBdr>
        <w:rPr>
          <w:rFonts w:hint="eastAsia" w:ascii="仿宋_GB2312" w:hAnsi="宋体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</w:rPr>
        <w:t>送：各</w:t>
      </w:r>
      <w:r>
        <w:rPr>
          <w:rFonts w:hint="eastAsia" w:ascii="仿宋_GB2312" w:hAnsi="宋体" w:eastAsia="仿宋_GB2312"/>
          <w:sz w:val="28"/>
          <w:szCs w:val="28"/>
          <w:lang w:eastAsia="zh-CN"/>
        </w:rPr>
        <w:t>银行业</w:t>
      </w:r>
      <w:r>
        <w:rPr>
          <w:rFonts w:hint="eastAsia" w:ascii="仿宋_GB2312" w:hAnsi="宋体" w:eastAsia="仿宋_GB2312"/>
          <w:sz w:val="28"/>
          <w:szCs w:val="28"/>
        </w:rPr>
        <w:t>金融机构、兴业融资担保公司</w:t>
      </w:r>
    </w:p>
    <w:p>
      <w:pPr>
        <w:pStyle w:val="4"/>
        <w:shd w:val="clear" w:color="auto" w:fill="FFFFFF"/>
        <w:spacing w:before="0" w:beforeAutospacing="0" w:after="0" w:afterAutospacing="0"/>
        <w:ind w:firstLine="420"/>
        <w:jc w:val="right"/>
        <w:rPr>
          <w:rFonts w:ascii="仿宋_GB2312" w:hAnsi="仿宋_GB2312" w:eastAsia="仿宋_GB2312" w:cs="仿宋_GB2312"/>
          <w:color w:val="000000"/>
          <w:kern w:val="2"/>
          <w:sz w:val="32"/>
          <w:szCs w:val="32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4</w:t>
    </w:r>
    <w:r>
      <w:rPr>
        <w:rStyle w:val="8"/>
      </w:rP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2F5611"/>
    <w:rsid w:val="00053405"/>
    <w:rsid w:val="000866AC"/>
    <w:rsid w:val="00156140"/>
    <w:rsid w:val="00266D60"/>
    <w:rsid w:val="00272419"/>
    <w:rsid w:val="002D72FC"/>
    <w:rsid w:val="002E2C93"/>
    <w:rsid w:val="00376645"/>
    <w:rsid w:val="00393479"/>
    <w:rsid w:val="003D0C65"/>
    <w:rsid w:val="003D5BCC"/>
    <w:rsid w:val="003F708F"/>
    <w:rsid w:val="004458B0"/>
    <w:rsid w:val="004C265A"/>
    <w:rsid w:val="00565868"/>
    <w:rsid w:val="00581FF8"/>
    <w:rsid w:val="006200A9"/>
    <w:rsid w:val="006E0450"/>
    <w:rsid w:val="0073141D"/>
    <w:rsid w:val="007450AB"/>
    <w:rsid w:val="007655B5"/>
    <w:rsid w:val="007B4AA8"/>
    <w:rsid w:val="007B791A"/>
    <w:rsid w:val="00861DA6"/>
    <w:rsid w:val="009B76D5"/>
    <w:rsid w:val="00A96898"/>
    <w:rsid w:val="00C03427"/>
    <w:rsid w:val="00C75AF0"/>
    <w:rsid w:val="00CB59F3"/>
    <w:rsid w:val="00D5129A"/>
    <w:rsid w:val="00D94EF0"/>
    <w:rsid w:val="00E40CFD"/>
    <w:rsid w:val="00E91903"/>
    <w:rsid w:val="00F12E0A"/>
    <w:rsid w:val="00F40CB7"/>
    <w:rsid w:val="00F4146E"/>
    <w:rsid w:val="00FD0A3D"/>
    <w:rsid w:val="022305AA"/>
    <w:rsid w:val="02DD1139"/>
    <w:rsid w:val="034F4D9F"/>
    <w:rsid w:val="04442A27"/>
    <w:rsid w:val="04726509"/>
    <w:rsid w:val="047B38B9"/>
    <w:rsid w:val="05481E04"/>
    <w:rsid w:val="05B96E86"/>
    <w:rsid w:val="06AF1B0E"/>
    <w:rsid w:val="073F7D55"/>
    <w:rsid w:val="08B75FD6"/>
    <w:rsid w:val="0CA1738F"/>
    <w:rsid w:val="0CE26C97"/>
    <w:rsid w:val="0D394E38"/>
    <w:rsid w:val="0DAE683B"/>
    <w:rsid w:val="0E165B11"/>
    <w:rsid w:val="0E18037E"/>
    <w:rsid w:val="0EAC71FC"/>
    <w:rsid w:val="0EB625F0"/>
    <w:rsid w:val="0F6D6E9F"/>
    <w:rsid w:val="10056408"/>
    <w:rsid w:val="113C7731"/>
    <w:rsid w:val="11693905"/>
    <w:rsid w:val="13773CBC"/>
    <w:rsid w:val="13ED39BB"/>
    <w:rsid w:val="14507847"/>
    <w:rsid w:val="1700379A"/>
    <w:rsid w:val="17804B60"/>
    <w:rsid w:val="17EA28F1"/>
    <w:rsid w:val="188D2373"/>
    <w:rsid w:val="1A690F0C"/>
    <w:rsid w:val="1AC03DCE"/>
    <w:rsid w:val="1BF16391"/>
    <w:rsid w:val="1C6A698A"/>
    <w:rsid w:val="1D9874F9"/>
    <w:rsid w:val="1DE73D6A"/>
    <w:rsid w:val="1E82404F"/>
    <w:rsid w:val="1EEA24CC"/>
    <w:rsid w:val="206F6C37"/>
    <w:rsid w:val="20ED194B"/>
    <w:rsid w:val="212A0506"/>
    <w:rsid w:val="230D108C"/>
    <w:rsid w:val="234540C0"/>
    <w:rsid w:val="23CB2068"/>
    <w:rsid w:val="24AB5A30"/>
    <w:rsid w:val="24F30AAA"/>
    <w:rsid w:val="25754F98"/>
    <w:rsid w:val="25776207"/>
    <w:rsid w:val="261D3BA2"/>
    <w:rsid w:val="262F5611"/>
    <w:rsid w:val="27955AE4"/>
    <w:rsid w:val="27B318CA"/>
    <w:rsid w:val="28E6626D"/>
    <w:rsid w:val="297E331E"/>
    <w:rsid w:val="2AE6632C"/>
    <w:rsid w:val="2BB5581C"/>
    <w:rsid w:val="2C9A6EB6"/>
    <w:rsid w:val="2D871473"/>
    <w:rsid w:val="2E3F5904"/>
    <w:rsid w:val="2FDF76E7"/>
    <w:rsid w:val="304B4045"/>
    <w:rsid w:val="310015FF"/>
    <w:rsid w:val="31076BDE"/>
    <w:rsid w:val="311E229C"/>
    <w:rsid w:val="31241C5C"/>
    <w:rsid w:val="31666F32"/>
    <w:rsid w:val="32056DCD"/>
    <w:rsid w:val="33293250"/>
    <w:rsid w:val="355D16BA"/>
    <w:rsid w:val="35EE2DA1"/>
    <w:rsid w:val="363A1B64"/>
    <w:rsid w:val="363D3BCC"/>
    <w:rsid w:val="374D1F65"/>
    <w:rsid w:val="37AB3C09"/>
    <w:rsid w:val="380005FE"/>
    <w:rsid w:val="38811F63"/>
    <w:rsid w:val="38D016D9"/>
    <w:rsid w:val="39201D65"/>
    <w:rsid w:val="3B013C08"/>
    <w:rsid w:val="3B0C04B2"/>
    <w:rsid w:val="3C37275E"/>
    <w:rsid w:val="3CDC2212"/>
    <w:rsid w:val="3CE43EC9"/>
    <w:rsid w:val="3F6911DF"/>
    <w:rsid w:val="40102F66"/>
    <w:rsid w:val="45084B68"/>
    <w:rsid w:val="45653AD6"/>
    <w:rsid w:val="45762A71"/>
    <w:rsid w:val="45A90728"/>
    <w:rsid w:val="47103AA0"/>
    <w:rsid w:val="48270AA7"/>
    <w:rsid w:val="486B1395"/>
    <w:rsid w:val="48C46390"/>
    <w:rsid w:val="492754E9"/>
    <w:rsid w:val="4A7219C1"/>
    <w:rsid w:val="4AA02A6C"/>
    <w:rsid w:val="4AFA4410"/>
    <w:rsid w:val="4CFA3959"/>
    <w:rsid w:val="4DE12859"/>
    <w:rsid w:val="4EC334D1"/>
    <w:rsid w:val="4F05311F"/>
    <w:rsid w:val="50C71278"/>
    <w:rsid w:val="512751CA"/>
    <w:rsid w:val="51D67392"/>
    <w:rsid w:val="51EF3FAC"/>
    <w:rsid w:val="5459402A"/>
    <w:rsid w:val="553B68BE"/>
    <w:rsid w:val="5831631B"/>
    <w:rsid w:val="59B90810"/>
    <w:rsid w:val="5BDD17F7"/>
    <w:rsid w:val="5D5808FA"/>
    <w:rsid w:val="5DAC1C60"/>
    <w:rsid w:val="5DD25532"/>
    <w:rsid w:val="5F752248"/>
    <w:rsid w:val="5F76202B"/>
    <w:rsid w:val="60390FC2"/>
    <w:rsid w:val="60C252B6"/>
    <w:rsid w:val="60E702A1"/>
    <w:rsid w:val="649F742C"/>
    <w:rsid w:val="656F68DF"/>
    <w:rsid w:val="6734690A"/>
    <w:rsid w:val="680253D2"/>
    <w:rsid w:val="69337971"/>
    <w:rsid w:val="693B28A6"/>
    <w:rsid w:val="69E869E9"/>
    <w:rsid w:val="6A681E15"/>
    <w:rsid w:val="6C2C4E2F"/>
    <w:rsid w:val="6D36619A"/>
    <w:rsid w:val="6D9C7683"/>
    <w:rsid w:val="6E2F4F37"/>
    <w:rsid w:val="6E3D61A8"/>
    <w:rsid w:val="6FE316D3"/>
    <w:rsid w:val="7046358E"/>
    <w:rsid w:val="713F70D6"/>
    <w:rsid w:val="725E4BCB"/>
    <w:rsid w:val="738069D6"/>
    <w:rsid w:val="73837109"/>
    <w:rsid w:val="74196313"/>
    <w:rsid w:val="75132419"/>
    <w:rsid w:val="75566DE6"/>
    <w:rsid w:val="75AD0391"/>
    <w:rsid w:val="764175A5"/>
    <w:rsid w:val="76813DCD"/>
    <w:rsid w:val="76EA1B67"/>
    <w:rsid w:val="776B714F"/>
    <w:rsid w:val="780105A2"/>
    <w:rsid w:val="780C5192"/>
    <w:rsid w:val="792B710B"/>
    <w:rsid w:val="794A009C"/>
    <w:rsid w:val="79595890"/>
    <w:rsid w:val="7965322C"/>
    <w:rsid w:val="79B13681"/>
    <w:rsid w:val="79B53DAC"/>
    <w:rsid w:val="7A016F27"/>
    <w:rsid w:val="7A2716F4"/>
    <w:rsid w:val="7B2B2470"/>
    <w:rsid w:val="7B7E6275"/>
    <w:rsid w:val="7CB731DA"/>
    <w:rsid w:val="7D8B5D87"/>
    <w:rsid w:val="7DB64B7C"/>
    <w:rsid w:val="7DCC41BE"/>
    <w:rsid w:val="7DF93EAA"/>
    <w:rsid w:val="7E7073A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qFormat="1" w:unhideWhenUsed="0" w:uiPriority="99" w:semiHidden="0" w:name="HTML Acronym"/>
    <w:lsdException w:uiPriority="99" w:name="HTML Address"/>
    <w:lsdException w:uiPriority="99" w:name="HTML Cite"/>
    <w:lsdException w:qFormat="1" w:unhideWhenUsed="0" w:uiPriority="99" w:semiHidden="0" w:name="HTML Code"/>
    <w:lsdException w:qFormat="1" w:unhideWhenUsed="0" w:uiPriority="99" w:semiHidden="0" w:name="HTML Definition"/>
    <w:lsdException w:qFormat="1" w:unhideWhenUsed="0" w:uiPriority="99" w:semiHidden="0" w:name="HTML Keyboard"/>
    <w:lsdException w:uiPriority="99" w:name="HTML Preformatted"/>
    <w:lsdException w:qFormat="1" w:unhideWhenUsed="0" w:uiPriority="99" w:semiHidden="0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7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Strong"/>
    <w:basedOn w:val="6"/>
    <w:qFormat/>
    <w:uiPriority w:val="99"/>
    <w:rPr>
      <w:rFonts w:cs="Times New Roman"/>
      <w:b/>
    </w:rPr>
  </w:style>
  <w:style w:type="character" w:styleId="8">
    <w:name w:val="page number"/>
    <w:basedOn w:val="6"/>
    <w:qFormat/>
    <w:uiPriority w:val="99"/>
    <w:rPr>
      <w:rFonts w:cs="Times New Roman"/>
    </w:rPr>
  </w:style>
  <w:style w:type="character" w:styleId="9">
    <w:name w:val="FollowedHyperlink"/>
    <w:basedOn w:val="6"/>
    <w:qFormat/>
    <w:uiPriority w:val="99"/>
    <w:rPr>
      <w:rFonts w:cs="Times New Roman"/>
      <w:color w:val="333333"/>
      <w:u w:val="single"/>
    </w:rPr>
  </w:style>
  <w:style w:type="character" w:styleId="10">
    <w:name w:val="HTML Definition"/>
    <w:basedOn w:val="6"/>
    <w:qFormat/>
    <w:uiPriority w:val="99"/>
    <w:rPr>
      <w:rFonts w:cs="Times New Roman"/>
      <w:i/>
    </w:rPr>
  </w:style>
  <w:style w:type="character" w:styleId="11">
    <w:name w:val="HTML Acronym"/>
    <w:basedOn w:val="6"/>
    <w:qFormat/>
    <w:uiPriority w:val="99"/>
    <w:rPr>
      <w:rFonts w:cs="Times New Roman"/>
    </w:rPr>
  </w:style>
  <w:style w:type="character" w:styleId="12">
    <w:name w:val="Hyperlink"/>
    <w:basedOn w:val="6"/>
    <w:qFormat/>
    <w:uiPriority w:val="99"/>
    <w:rPr>
      <w:rFonts w:cs="Times New Roman"/>
      <w:color w:val="333333"/>
      <w:u w:val="single"/>
    </w:rPr>
  </w:style>
  <w:style w:type="character" w:styleId="13">
    <w:name w:val="HTML Code"/>
    <w:basedOn w:val="6"/>
    <w:qFormat/>
    <w:uiPriority w:val="99"/>
    <w:rPr>
      <w:rFonts w:ascii="monospace" w:hAnsi="monospace" w:eastAsia="Times New Roman" w:cs="monospace"/>
      <w:sz w:val="21"/>
      <w:szCs w:val="21"/>
    </w:rPr>
  </w:style>
  <w:style w:type="character" w:styleId="14">
    <w:name w:val="HTML Keyboard"/>
    <w:basedOn w:val="6"/>
    <w:qFormat/>
    <w:uiPriority w:val="99"/>
    <w:rPr>
      <w:rFonts w:ascii="monospace" w:hAnsi="monospace" w:eastAsia="Times New Roman" w:cs="monospace"/>
      <w:sz w:val="21"/>
      <w:szCs w:val="21"/>
    </w:rPr>
  </w:style>
  <w:style w:type="character" w:styleId="15">
    <w:name w:val="HTML Sample"/>
    <w:basedOn w:val="6"/>
    <w:qFormat/>
    <w:uiPriority w:val="99"/>
    <w:rPr>
      <w:rFonts w:ascii="monospace" w:hAnsi="monospace" w:eastAsia="Times New Roman" w:cs="monospace"/>
      <w:sz w:val="21"/>
      <w:szCs w:val="21"/>
    </w:rPr>
  </w:style>
  <w:style w:type="character" w:customStyle="1" w:styleId="16">
    <w:name w:val="页脚 Char"/>
    <w:basedOn w:val="6"/>
    <w:link w:val="2"/>
    <w:semiHidden/>
    <w:qFormat/>
    <w:uiPriority w:val="99"/>
    <w:rPr>
      <w:sz w:val="18"/>
      <w:szCs w:val="18"/>
    </w:rPr>
  </w:style>
  <w:style w:type="character" w:customStyle="1" w:styleId="17">
    <w:name w:val="页眉 Char"/>
    <w:basedOn w:val="6"/>
    <w:link w:val="3"/>
    <w:qFormat/>
    <w:locked/>
    <w:uiPriority w:val="99"/>
    <w:rPr>
      <w:rFonts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6</Pages>
  <Words>302</Words>
  <Characters>1725</Characters>
  <Lines>14</Lines>
  <Paragraphs>4</Paragraphs>
  <TotalTime>1</TotalTime>
  <ScaleCrop>false</ScaleCrop>
  <LinksUpToDate>false</LinksUpToDate>
  <CharactersWithSpaces>2023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2020-08-14T03:54:00Z</dcterms:created>
  <dc:creator>豆豆妈</dc:creator>
  <cp:lastModifiedBy>豆豆妈</cp:lastModifiedBy>
  <dcterms:modified xsi:type="dcterms:W3CDTF">2020-08-17T08:36:31Z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