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eastAsia="方正小标宋简体"/>
          <w:b/>
          <w:bCs/>
          <w:color w:val="FF0000"/>
          <w:spacing w:val="104"/>
          <w:kern w:val="10"/>
          <w:sz w:val="112"/>
          <w:szCs w:val="36"/>
        </w:rPr>
      </w:pPr>
      <w:r>
        <w:rPr>
          <w:rFonts w:hint="eastAsia" w:eastAsia="方正小标宋简体"/>
          <w:b/>
          <w:bCs/>
          <w:color w:val="FF0000"/>
          <w:spacing w:val="104"/>
          <w:kern w:val="10"/>
          <w:sz w:val="112"/>
          <w:szCs w:val="36"/>
        </w:rPr>
        <w:t>旌德金融动态</w:t>
      </w:r>
    </w:p>
    <w:p>
      <w:pPr>
        <w:rPr>
          <w:bCs/>
          <w:spacing w:val="104"/>
          <w:kern w:val="10"/>
          <w:sz w:val="24"/>
          <w:szCs w:val="36"/>
        </w:rPr>
      </w:pPr>
    </w:p>
    <w:p>
      <w:pPr>
        <w:jc w:val="center"/>
        <w:rPr>
          <w:rFonts w:eastAsia="楷体_GB2312"/>
          <w:bCs/>
          <w:sz w:val="32"/>
          <w:szCs w:val="36"/>
        </w:rPr>
      </w:pPr>
      <w:r>
        <w:rPr>
          <w:rFonts w:hint="eastAsia" w:eastAsia="楷体_GB2312"/>
          <w:bCs/>
          <w:sz w:val="32"/>
          <w:szCs w:val="36"/>
        </w:rPr>
        <w:t>（第八期）</w:t>
      </w:r>
    </w:p>
    <w:p>
      <w:pPr>
        <w:rPr>
          <w:rFonts w:ascii="仿宋" w:hAnsi="仿宋" w:eastAsia="仿宋"/>
          <w:bCs/>
          <w:color w:val="000000"/>
          <w:w w:val="90"/>
          <w:sz w:val="32"/>
          <w:szCs w:val="36"/>
        </w:rPr>
      </w:pPr>
      <w:r>
        <w:rPr>
          <w:rFonts w:hint="eastAsia" w:ascii="仿宋" w:hAnsi="仿宋" w:eastAsia="仿宋"/>
          <w:bCs/>
          <w:color w:val="000000"/>
          <w:w w:val="90"/>
          <w:sz w:val="32"/>
          <w:szCs w:val="36"/>
        </w:rPr>
        <w:t xml:space="preserve">旌德县地方金融监督管理局                  </w:t>
      </w:r>
      <w:r>
        <w:rPr>
          <w:rFonts w:ascii="仿宋" w:hAnsi="仿宋" w:eastAsia="仿宋"/>
          <w:bCs/>
          <w:sz w:val="28"/>
          <w:szCs w:val="36"/>
        </w:rPr>
        <w:t>2020</w:t>
      </w:r>
      <w:r>
        <w:rPr>
          <w:rFonts w:hint="eastAsia" w:ascii="仿宋" w:hAnsi="仿宋" w:eastAsia="仿宋"/>
          <w:bCs/>
          <w:color w:val="000000"/>
          <w:w w:val="90"/>
          <w:sz w:val="32"/>
          <w:szCs w:val="36"/>
        </w:rPr>
        <w:t>年9月11日</w:t>
      </w:r>
    </w:p>
    <w:p>
      <w:pPr>
        <w:rPr>
          <w:rFonts w:ascii="仿宋_GB2312" w:hAnsi="仿宋_GB2312" w:eastAsia="仿宋_GB2312" w:cs="仿宋_GB2312"/>
          <w:sz w:val="32"/>
          <w:szCs w:val="32"/>
        </w:rPr>
      </w:pPr>
      <w:r>
        <mc:AlternateContent>
          <mc:Choice Requires="wps">
            <w:drawing>
              <wp:anchor distT="0" distB="0" distL="114300" distR="114300" simplePos="0" relativeHeight="251657216" behindDoc="0" locked="0" layoutInCell="1" allowOverlap="1">
                <wp:simplePos x="0" y="0"/>
                <wp:positionH relativeFrom="column">
                  <wp:posOffset>-114300</wp:posOffset>
                </wp:positionH>
                <wp:positionV relativeFrom="paragraph">
                  <wp:posOffset>0</wp:posOffset>
                </wp:positionV>
                <wp:extent cx="5600700" cy="0"/>
                <wp:effectExtent l="0" t="0" r="0" b="0"/>
                <wp:wrapNone/>
                <wp:docPr id="8" name="直接连接符 8"/>
                <wp:cNvGraphicFramePr/>
                <a:graphic xmlns:a="http://schemas.openxmlformats.org/drawingml/2006/main">
                  <a:graphicData uri="http://schemas.microsoft.com/office/word/2010/wordprocessingShape">
                    <wps:wsp>
                      <wps:cNvCnPr/>
                      <wps:spPr>
                        <a:xfrm>
                          <a:off x="0" y="0"/>
                          <a:ext cx="5600700" cy="0"/>
                        </a:xfrm>
                        <a:prstGeom prst="line">
                          <a:avLst/>
                        </a:prstGeom>
                        <a:ln w="17780" cap="flat" cmpd="sng">
                          <a:solidFill>
                            <a:srgbClr val="FF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pt;margin-top:0pt;height:0pt;width:441pt;z-index:251657216;mso-width-relative:page;mso-height-relative:page;" filled="f" stroked="t" coordsize="21600,21600" o:gfxdata="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LfRf6XWAAAABQEAAA8A&#10;AAAAAAAAAQAgAAAAIgAAAGRycy9kb3ducmV2LnhtbFBLAQIUABQAAAAIAIdO4kD4iytR4AEAAKUD&#10;AAAOAAAAAAAAAAEAIAAAACUBAABkcnMvZTJvRG9jLnhtbFBLBQYAAAAABgAGAFkBAAB3BQAAAAA=&#10;">
                <v:fill on="f" focussize="0,0"/>
                <v:stroke weight="1.4pt" color="#FF0000" joinstyle="round"/>
                <v:imagedata o:title=""/>
                <o:lock v:ext="edit" aspectratio="f"/>
              </v:line>
            </w:pict>
          </mc:Fallback>
        </mc:AlternateContent>
      </w:r>
    </w:p>
    <w:p>
      <w:pPr>
        <w:snapToGrid w:val="0"/>
        <w:spacing w:line="360" w:lineRule="auto"/>
        <w:ind w:firstLine="420" w:firstLineChars="200"/>
        <w:rPr>
          <w:rFonts w:ascii="仿宋_GB2312" w:hAnsi="仿宋_GB2312" w:eastAsia="仿宋_GB2312" w:cs="仿宋_GB2312"/>
          <w:sz w:val="32"/>
          <w:szCs w:val="32"/>
        </w:rPr>
      </w:pPr>
      <w:r>
        <mc:AlternateContent>
          <mc:Choice Requires="wps">
            <w:drawing>
              <wp:anchor distT="0" distB="0" distL="114300" distR="114300" simplePos="0" relativeHeight="251658240" behindDoc="1" locked="0" layoutInCell="1" allowOverlap="1">
                <wp:simplePos x="0" y="0"/>
                <wp:positionH relativeFrom="column">
                  <wp:posOffset>-12065</wp:posOffset>
                </wp:positionH>
                <wp:positionV relativeFrom="paragraph">
                  <wp:posOffset>1905</wp:posOffset>
                </wp:positionV>
                <wp:extent cx="1904365" cy="545465"/>
                <wp:effectExtent l="19050" t="19050" r="19685" b="26035"/>
                <wp:wrapTight wrapText="bothSides">
                  <wp:wrapPolygon>
                    <wp:start x="-217" y="-758"/>
                    <wp:lineTo x="-217" y="21979"/>
                    <wp:lineTo x="21817" y="21979"/>
                    <wp:lineTo x="21817" y="-758"/>
                    <wp:lineTo x="-217" y="-758"/>
                  </wp:wrapPolygon>
                </wp:wrapTight>
                <wp:docPr id="7" name="文本框 7"/>
                <wp:cNvGraphicFramePr/>
                <a:graphic xmlns:a="http://schemas.openxmlformats.org/drawingml/2006/main">
                  <a:graphicData uri="http://schemas.microsoft.com/office/word/2010/wordprocessingShape">
                    <wps:wsp>
                      <wps:cNvSpPr txBox="1"/>
                      <wps:spPr>
                        <a:xfrm>
                          <a:off x="0" y="0"/>
                          <a:ext cx="1904365" cy="545465"/>
                        </a:xfrm>
                        <a:prstGeom prst="rect">
                          <a:avLst/>
                        </a:prstGeom>
                        <a:solidFill>
                          <a:srgbClr val="FFFFFF"/>
                        </a:solidFill>
                        <a:ln w="38100" cap="flat" cmpd="sng">
                          <a:solidFill>
                            <a:srgbClr val="FF0000"/>
                          </a:solidFill>
                          <a:prstDash val="solid"/>
                          <a:miter/>
                          <a:headEnd type="none" w="med" len="med"/>
                          <a:tailEnd type="none" w="med" len="med"/>
                        </a:ln>
                        <a:effectLst/>
                      </wps:spPr>
                      <wps:txbx>
                        <w:txbxContent>
                          <w:p>
                            <w:pPr>
                              <w:rPr>
                                <w:rFonts w:eastAsia="楷体_GB2312"/>
                                <w:b/>
                                <w:sz w:val="44"/>
                              </w:rPr>
                            </w:pPr>
                            <w:r>
                              <w:rPr>
                                <w:rFonts w:hint="eastAsia" w:eastAsia="楷体_GB2312"/>
                                <w:b/>
                                <w:sz w:val="44"/>
                              </w:rPr>
                              <w:t>金融运营动态</w:t>
                            </w:r>
                          </w:p>
                        </w:txbxContent>
                      </wps:txbx>
                      <wps:bodyPr wrap="none" upright="1"/>
                    </wps:wsp>
                  </a:graphicData>
                </a:graphic>
              </wp:anchor>
            </w:drawing>
          </mc:Choice>
          <mc:Fallback>
            <w:pict>
              <v:shape id="_x0000_s1026" o:spid="_x0000_s1026" o:spt="202" type="#_x0000_t202" style="position:absolute;left:0pt;margin-left:-0.95pt;margin-top:0.15pt;height:42.95pt;width:149.95pt;mso-wrap-distance-left:9pt;mso-wrap-distance-right:9pt;mso-wrap-style:none;z-index:-251658240;mso-width-relative:page;mso-height-relative:page;" fillcolor="#FFFFFF" filled="t" stroked="t" coordsize="21600,21600" wrapcoords="-217 -758 -217 21979 21817 21979 21817 -758 -217 -758" o:gfxdata="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Yd5ptgAAAAGAQAADwAAAAAAAAABACAAAAAiAAAAZHJzL2Rvd25yZXYu&#10;eG1sUEsBAhQAFAAAAAgAh07iQNAVdq77AQAAAwQAAA4AAAAAAAAAAQAgAAAAJwEAAGRycy9lMm9E&#10;b2MueG1sUEsFBgAAAAAGAAYAWQEAAJQFAAAAAA==&#10;">
                <v:fill on="t" focussize="0,0"/>
                <v:stroke weight="3pt" color="#FF0000" joinstyle="miter"/>
                <v:imagedata o:title=""/>
                <o:lock v:ext="edit" aspectratio="f"/>
                <v:textbox>
                  <w:txbxContent>
                    <w:p>
                      <w:pPr>
                        <w:rPr>
                          <w:rFonts w:eastAsia="楷体_GB2312"/>
                          <w:b/>
                          <w:sz w:val="44"/>
                        </w:rPr>
                      </w:pPr>
                      <w:r>
                        <w:rPr>
                          <w:rFonts w:hint="eastAsia" w:eastAsia="楷体_GB2312"/>
                          <w:b/>
                          <w:sz w:val="44"/>
                        </w:rPr>
                        <w:t>金融运营动态</w:t>
                      </w:r>
                    </w:p>
                  </w:txbxContent>
                </v:textbox>
                <w10:wrap type="tight"/>
              </v:shape>
            </w:pict>
          </mc:Fallback>
        </mc:AlternateContent>
      </w:r>
    </w:p>
    <w:p>
      <w:pPr>
        <w:pStyle w:val="2"/>
        <w:keepNext w:val="0"/>
        <w:keepLines w:val="0"/>
        <w:pageBreakBefore w:val="0"/>
        <w:widowControl w:val="0"/>
        <w:kinsoku/>
        <w:wordWrap/>
        <w:overflowPunct/>
        <w:topLinePunct w:val="0"/>
        <w:autoSpaceDE/>
        <w:autoSpaceDN/>
        <w:bidi w:val="0"/>
        <w:adjustRightInd/>
        <w:snapToGrid w:val="0"/>
        <w:spacing w:line="336" w:lineRule="auto"/>
        <w:textAlignment w:val="auto"/>
        <w:rPr>
          <w:rFonts w:hint="eastAsia" w:ascii="仿宋_GB2312" w:hAnsi="仿宋_GB2312" w:eastAsia="仿宋_GB2312" w:cs="仿宋_GB2312"/>
          <w:sz w:val="32"/>
          <w:szCs w:val="32"/>
        </w:rPr>
      </w:pPr>
    </w:p>
    <w:p>
      <w:pPr>
        <w:pStyle w:val="2"/>
        <w:keepNext w:val="0"/>
        <w:keepLines w:val="0"/>
        <w:pageBreakBefore w:val="0"/>
        <w:widowControl w:val="0"/>
        <w:kinsoku/>
        <w:wordWrap/>
        <w:overflowPunct/>
        <w:topLinePunct w:val="0"/>
        <w:autoSpaceDE/>
        <w:autoSpaceDN/>
        <w:bidi w:val="0"/>
        <w:adjustRightInd/>
        <w:snapToGrid w:val="0"/>
        <w:spacing w:line="336" w:lineRule="auto"/>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8月末，全县人民币各项存款92.62亿元，比上月增加9603万元,同比增加7.36亿元,增速8.63%;人民币各项贷款63.56亿元，比上月增加8091万元,同比增加9.94亿元、增速18.54%；新增贷款7.61亿元，完成进度76.1%。我县存贷款余额加权平均增长速度12.66%，较上月减少0.2个百分点，高于宣城市0.96个百分点。</w:t>
      </w:r>
    </w:p>
    <w:p>
      <w:pPr>
        <w:pStyle w:val="2"/>
        <w:spacing w:line="360" w:lineRule="auto"/>
        <w:ind w:firstLine="360" w:firstLineChars="200"/>
        <w:rPr>
          <w:rFonts w:ascii="仿宋_GB2312" w:hAnsi="仿宋_GB2312" w:eastAsia="仿宋_GB2312" w:cs="仿宋_GB2312"/>
          <w:sz w:val="32"/>
          <w:szCs w:val="32"/>
        </w:rPr>
      </w:pPr>
      <w:r>
        <mc:AlternateContent>
          <mc:Choice Requires="wps">
            <w:drawing>
              <wp:anchor distT="0" distB="0" distL="114300" distR="114300" simplePos="0" relativeHeight="251662336" behindDoc="1" locked="0" layoutInCell="1" allowOverlap="1">
                <wp:simplePos x="0" y="0"/>
                <wp:positionH relativeFrom="column">
                  <wp:posOffset>16510</wp:posOffset>
                </wp:positionH>
                <wp:positionV relativeFrom="paragraph">
                  <wp:posOffset>72390</wp:posOffset>
                </wp:positionV>
                <wp:extent cx="1904365" cy="530860"/>
                <wp:effectExtent l="19050" t="19050" r="19685" b="21590"/>
                <wp:wrapTight wrapText="bothSides">
                  <wp:wrapPolygon>
                    <wp:start x="-217" y="-771"/>
                    <wp:lineTo x="-217" y="21986"/>
                    <wp:lineTo x="21817" y="21986"/>
                    <wp:lineTo x="21817" y="-771"/>
                    <wp:lineTo x="-217" y="-771"/>
                  </wp:wrapPolygon>
                </wp:wrapTight>
                <wp:docPr id="10" name="文本框 10"/>
                <wp:cNvGraphicFramePr/>
                <a:graphic xmlns:a="http://schemas.openxmlformats.org/drawingml/2006/main">
                  <a:graphicData uri="http://schemas.microsoft.com/office/word/2010/wordprocessingShape">
                    <wps:wsp>
                      <wps:cNvSpPr txBox="1"/>
                      <wps:spPr>
                        <a:xfrm flipV="1">
                          <a:off x="0" y="0"/>
                          <a:ext cx="1904365" cy="530860"/>
                        </a:xfrm>
                        <a:prstGeom prst="rect">
                          <a:avLst/>
                        </a:prstGeom>
                        <a:solidFill>
                          <a:srgbClr val="FFFFFF"/>
                        </a:solidFill>
                        <a:ln w="38100" cap="flat" cmpd="sng">
                          <a:solidFill>
                            <a:srgbClr val="FF0000"/>
                          </a:solidFill>
                          <a:prstDash val="solid"/>
                          <a:miter/>
                          <a:headEnd type="none" w="med" len="med"/>
                          <a:tailEnd type="none" w="med" len="med"/>
                        </a:ln>
                        <a:effectLst/>
                      </wps:spPr>
                      <wps:txbx>
                        <w:txbxContent>
                          <w:p>
                            <w:pPr>
                              <w:rPr>
                                <w:rFonts w:eastAsia="楷体_GB2312"/>
                                <w:b/>
                                <w:sz w:val="44"/>
                              </w:rPr>
                            </w:pPr>
                            <w:r>
                              <w:rPr>
                                <w:rFonts w:hint="eastAsia" w:eastAsia="楷体_GB2312"/>
                                <w:b/>
                                <w:sz w:val="44"/>
                              </w:rPr>
                              <w:t>金融服务专栏</w:t>
                            </w:r>
                          </w:p>
                        </w:txbxContent>
                      </wps:txbx>
                      <wps:bodyPr wrap="none" upright="1">
                        <a:noAutofit/>
                      </wps:bodyPr>
                    </wps:wsp>
                  </a:graphicData>
                </a:graphic>
              </wp:anchor>
            </w:drawing>
          </mc:Choice>
          <mc:Fallback>
            <w:pict>
              <v:shape id="_x0000_s1026" o:spid="_x0000_s1026" o:spt="202" type="#_x0000_t202" style="position:absolute;left:0pt;flip:y;margin-left:1.3pt;margin-top:5.7pt;height:41.8pt;width:149.95pt;mso-wrap-distance-left:9pt;mso-wrap-distance-right:9pt;mso-wrap-style:none;z-index:-251654144;mso-width-relative:page;mso-height-relative:page;" fillcolor="#FFFFFF" filled="t" stroked="t" coordsize="21600,21600" wrapcoords="-217 -771 -217 21986 21817 21986 21817 -771 -217 -771" o:gfxdata="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nGuBE1QAAAAcBAAAPAAAAAAAAAAEAIAAA&#10;ACIAAABkcnMvZG93bnJldi54bWxQSwECFAAUAAAACACHTuJA/Nns0g8CAAApBAAADgAAAAAAAAAB&#10;ACAAAAAkAQAAZHJzL2Uyb0RvYy54bWxQSwUGAAAAAAYABgBZAQAApQUAAAAA&#10;">
                <v:fill on="t" focussize="0,0"/>
                <v:stroke weight="3pt" color="#FF0000" joinstyle="miter"/>
                <v:imagedata o:title=""/>
                <o:lock v:ext="edit" aspectratio="f"/>
                <v:textbox>
                  <w:txbxContent>
                    <w:p>
                      <w:pPr>
                        <w:rPr>
                          <w:rFonts w:eastAsia="楷体_GB2312"/>
                          <w:b/>
                          <w:sz w:val="44"/>
                        </w:rPr>
                      </w:pPr>
                      <w:r>
                        <w:rPr>
                          <w:rFonts w:hint="eastAsia" w:eastAsia="楷体_GB2312"/>
                          <w:b/>
                          <w:sz w:val="44"/>
                        </w:rPr>
                        <w:t>金融服务专栏</w:t>
                      </w:r>
                    </w:p>
                  </w:txbxContent>
                </v:textbox>
                <w10:wrap type="tight"/>
              </v:shape>
            </w:pict>
          </mc:Fallback>
        </mc:AlternateContent>
      </w:r>
    </w:p>
    <w:p>
      <w:pPr>
        <w:pStyle w:val="2"/>
        <w:spacing w:line="360" w:lineRule="auto"/>
        <w:ind w:firstLine="640" w:firstLineChars="200"/>
        <w:rPr>
          <w:rFonts w:ascii="仿宋_GB2312" w:hAnsi="仿宋_GB2312" w:eastAsia="仿宋_GB2312" w:cs="仿宋_GB2312"/>
          <w:sz w:val="32"/>
          <w:szCs w:val="32"/>
        </w:rPr>
      </w:pPr>
    </w:p>
    <w:p>
      <w:pPr>
        <w:pStyle w:val="2"/>
        <w:keepNext w:val="0"/>
        <w:keepLines w:val="0"/>
        <w:pageBreakBefore w:val="0"/>
        <w:widowControl w:val="0"/>
        <w:kinsoku/>
        <w:wordWrap/>
        <w:overflowPunct/>
        <w:topLinePunct w:val="0"/>
        <w:autoSpaceDE/>
        <w:autoSpaceDN/>
        <w:bidi w:val="0"/>
        <w:adjustRightInd/>
        <w:snapToGrid w:val="0"/>
        <w:spacing w:line="336"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今年入汛以来，我县普降大暴雨，道路桥梁和农田冲毁，沿河房屋进水受淹，引发严重洪涝灾害，防汛形势十分严峻。县金融监管局积极作为，第一时间与县政府、防汛指挥部进行对接，了解受灾详情及防汛资金需求，积极引导县域各金融机构把握政策导向，灾情面前发挥金融帮扶作用。</w:t>
      </w:r>
    </w:p>
    <w:p>
      <w:pPr>
        <w:pStyle w:val="2"/>
        <w:keepNext w:val="0"/>
        <w:keepLines w:val="0"/>
        <w:pageBreakBefore w:val="0"/>
        <w:widowControl w:val="0"/>
        <w:kinsoku/>
        <w:wordWrap/>
        <w:overflowPunct/>
        <w:topLinePunct w:val="0"/>
        <w:autoSpaceDE/>
        <w:autoSpaceDN/>
        <w:bidi w:val="0"/>
        <w:adjustRightInd/>
        <w:snapToGrid w:val="0"/>
        <w:spacing w:line="336"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是农行旌德支行积极对接旌德县城镇化建设有限公司，3天完成1亿元授信审批，实现4500万元信贷投放；二是建设银行旌德支行在一周时间内，实现5000万信贷投放，为旌德县抗洪救灾工作提供了应急资金保障，有效促进了政银企合作关系。</w:t>
      </w:r>
    </w:p>
    <w:p>
      <w:pPr>
        <w:spacing w:line="360" w:lineRule="auto"/>
        <w:ind w:firstLine="420" w:firstLineChars="200"/>
        <w:rPr>
          <w:rFonts w:ascii="仿宋_GB2312" w:hAnsi="仿宋_GB2312" w:eastAsia="仿宋_GB2312" w:cs="仿宋_GB2312"/>
          <w:sz w:val="32"/>
          <w:szCs w:val="32"/>
        </w:rPr>
      </w:pPr>
      <w:r>
        <mc:AlternateContent>
          <mc:Choice Requires="wps">
            <w:drawing>
              <wp:anchor distT="0" distB="0" distL="114300" distR="114300" simplePos="0" relativeHeight="251660288" behindDoc="0" locked="0" layoutInCell="1" allowOverlap="1">
                <wp:simplePos x="0" y="0"/>
                <wp:positionH relativeFrom="column">
                  <wp:posOffset>80010</wp:posOffset>
                </wp:positionH>
                <wp:positionV relativeFrom="paragraph">
                  <wp:posOffset>179070</wp:posOffset>
                </wp:positionV>
                <wp:extent cx="1943100" cy="501650"/>
                <wp:effectExtent l="19050" t="19050" r="19050" b="31750"/>
                <wp:wrapNone/>
                <wp:docPr id="9" name="文本框 5"/>
                <wp:cNvGraphicFramePr/>
                <a:graphic xmlns:a="http://schemas.openxmlformats.org/drawingml/2006/main">
                  <a:graphicData uri="http://schemas.microsoft.com/office/word/2010/wordprocessingShape">
                    <wps:wsp>
                      <wps:cNvSpPr txBox="1"/>
                      <wps:spPr>
                        <a:xfrm>
                          <a:off x="0" y="0"/>
                          <a:ext cx="1943100" cy="501650"/>
                        </a:xfrm>
                        <a:prstGeom prst="rect">
                          <a:avLst/>
                        </a:prstGeom>
                        <a:solidFill>
                          <a:srgbClr val="FFFFFF"/>
                        </a:solidFill>
                        <a:ln w="38100" cap="flat" cmpd="sng">
                          <a:solidFill>
                            <a:srgbClr val="FF0000"/>
                          </a:solidFill>
                          <a:prstDash val="solid"/>
                          <a:miter/>
                          <a:headEnd type="none" w="med" len="med"/>
                          <a:tailEnd type="none" w="med" len="med"/>
                        </a:ln>
                        <a:effectLst/>
                      </wps:spPr>
                      <wps:txbx>
                        <w:txbxContent>
                          <w:p>
                            <w:pPr>
                              <w:rPr>
                                <w:rFonts w:eastAsia="楷体_GB2312"/>
                                <w:b/>
                                <w:sz w:val="44"/>
                              </w:rPr>
                            </w:pPr>
                            <w:r>
                              <w:rPr>
                                <w:rFonts w:hint="eastAsia" w:eastAsia="楷体_GB2312"/>
                                <w:b/>
                                <w:sz w:val="44"/>
                              </w:rPr>
                              <w:t>金融宣传专栏</w:t>
                            </w:r>
                          </w:p>
                        </w:txbxContent>
                      </wps:txbx>
                      <wps:bodyPr upright="1"/>
                    </wps:wsp>
                  </a:graphicData>
                </a:graphic>
              </wp:anchor>
            </w:drawing>
          </mc:Choice>
          <mc:Fallback>
            <w:pict>
              <v:shape id="文本框 5" o:spid="_x0000_s1026" o:spt="202" type="#_x0000_t202" style="position:absolute;left:0pt;margin-left:6.3pt;margin-top:14.1pt;height:39.5pt;width:153pt;z-index:251660288;mso-width-relative:page;mso-height-relative:page;" fillcolor="#FFFFFF" filled="t" stroked="t" coordsize="21600,21600" o:gfxdata="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WS3lY1QAAAAkBAAAPAAAAAAAAAAEAIAAAACIAAABkcnMvZG93bnJldi54bWxQSwEC&#10;FAAUAAAACACHTuJA13yHRfcBAAD3AwAADgAAAAAAAAABACAAAAAkAQAAZHJzL2Uyb0RvYy54bWxQ&#10;SwUGAAAAAAYABgBZAQAAjQUAAAAA&#10;">
                <v:fill on="t" focussize="0,0"/>
                <v:stroke weight="3pt" color="#FF0000" joinstyle="miter"/>
                <v:imagedata o:title=""/>
                <o:lock v:ext="edit" aspectratio="f"/>
                <v:textbox>
                  <w:txbxContent>
                    <w:p>
                      <w:pPr>
                        <w:rPr>
                          <w:rFonts w:eastAsia="楷体_GB2312"/>
                          <w:b/>
                          <w:sz w:val="44"/>
                        </w:rPr>
                      </w:pPr>
                      <w:r>
                        <w:rPr>
                          <w:rFonts w:hint="eastAsia" w:eastAsia="楷体_GB2312"/>
                          <w:b/>
                          <w:sz w:val="44"/>
                        </w:rPr>
                        <w:t>金融宣传专栏</w:t>
                      </w:r>
                    </w:p>
                  </w:txbxContent>
                </v:textbox>
              </v:shape>
            </w:pict>
          </mc:Fallback>
        </mc:AlternateContent>
      </w:r>
    </w:p>
    <w:p>
      <w:pPr>
        <w:pStyle w:val="2"/>
        <w:spacing w:line="360" w:lineRule="auto"/>
        <w:ind w:firstLine="640" w:firstLineChars="200"/>
        <w:rPr>
          <w:rFonts w:ascii="仿宋_GB2312" w:hAnsi="仿宋_GB2312" w:eastAsia="仿宋_GB2312" w:cs="仿宋_GB2312"/>
          <w:bCs/>
          <w:sz w:val="32"/>
          <w:szCs w:val="32"/>
        </w:rPr>
      </w:pPr>
    </w:p>
    <w:p>
      <w:pPr>
        <w:pStyle w:val="2"/>
        <w:keepNext w:val="0"/>
        <w:keepLines w:val="0"/>
        <w:pageBreakBefore w:val="0"/>
        <w:widowControl w:val="0"/>
        <w:kinsoku/>
        <w:wordWrap/>
        <w:overflowPunct/>
        <w:topLinePunct w:val="0"/>
        <w:autoSpaceDE/>
        <w:autoSpaceDN/>
        <w:bidi w:val="0"/>
        <w:adjustRightInd/>
        <w:snapToGrid w:val="0"/>
        <w:spacing w:line="620" w:lineRule="exact"/>
        <w:ind w:firstLine="640" w:firstLineChars="200"/>
        <w:textAlignment w:val="auto"/>
        <w:rPr>
          <w:rFonts w:ascii="仿宋_GB2312" w:hAnsi="仿宋_GB2312" w:eastAsia="仿宋_GB2312" w:cs="仿宋_GB2312"/>
          <w:bCs/>
          <w:sz w:val="32"/>
          <w:szCs w:val="32"/>
        </w:rPr>
      </w:pPr>
      <w:r>
        <w:rPr>
          <w:rFonts w:hint="eastAsia" w:ascii="仿宋_GB2312" w:hAnsi="仿宋_GB2312" w:eastAsia="仿宋_GB2312" w:cs="仿宋_GB2312"/>
          <w:bCs/>
          <w:sz w:val="32"/>
          <w:szCs w:val="32"/>
        </w:rPr>
        <w:drawing>
          <wp:anchor distT="0" distB="0" distL="114300" distR="114300" simplePos="0" relativeHeight="251653120" behindDoc="0" locked="0" layoutInCell="1" allowOverlap="1">
            <wp:simplePos x="0" y="0"/>
            <wp:positionH relativeFrom="column">
              <wp:posOffset>6350</wp:posOffset>
            </wp:positionH>
            <wp:positionV relativeFrom="paragraph">
              <wp:posOffset>190500</wp:posOffset>
            </wp:positionV>
            <wp:extent cx="3590925" cy="2693670"/>
            <wp:effectExtent l="0" t="0" r="9525" b="11430"/>
            <wp:wrapSquare wrapText="bothSides"/>
            <wp:docPr id="11" name="图片 11" descr="微信图片_20200902143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00902143836"/>
                    <pic:cNvPicPr>
                      <a:picLocks noChangeAspect="1"/>
                    </pic:cNvPicPr>
                  </pic:nvPicPr>
                  <pic:blipFill>
                    <a:blip r:embed="rId7"/>
                    <a:stretch>
                      <a:fillRect/>
                    </a:stretch>
                  </pic:blipFill>
                  <pic:spPr>
                    <a:xfrm>
                      <a:off x="0" y="0"/>
                      <a:ext cx="3590925" cy="2693670"/>
                    </a:xfrm>
                    <a:prstGeom prst="rect">
                      <a:avLst/>
                    </a:prstGeom>
                  </pic:spPr>
                </pic:pic>
              </a:graphicData>
            </a:graphic>
          </wp:anchor>
        </w:drawing>
      </w:r>
      <w:r>
        <w:rPr>
          <w:rFonts w:hint="eastAsia" w:ascii="仿宋_GB2312" w:hAnsi="仿宋_GB2312" w:eastAsia="仿宋_GB2312" w:cs="仿宋_GB2312"/>
          <w:bCs/>
          <w:sz w:val="32"/>
          <w:szCs w:val="32"/>
        </w:rPr>
        <w:t>根据人民银行统一部署，旌德民商村镇银行8月24日至8月25日开展科技宣传周活动，促进科技创新和科学普及在金融领域的协调发展。</w:t>
      </w:r>
    </w:p>
    <w:p>
      <w:pPr>
        <w:pStyle w:val="2"/>
        <w:keepNext w:val="0"/>
        <w:keepLines w:val="0"/>
        <w:pageBreakBefore w:val="0"/>
        <w:widowControl w:val="0"/>
        <w:kinsoku/>
        <w:wordWrap/>
        <w:overflowPunct/>
        <w:topLinePunct w:val="0"/>
        <w:autoSpaceDE/>
        <w:autoSpaceDN/>
        <w:bidi w:val="0"/>
        <w:adjustRightInd/>
        <w:snapToGrid w:val="0"/>
        <w:spacing w:line="620" w:lineRule="exact"/>
        <w:ind w:firstLine="640" w:firstLineChars="200"/>
        <w:textAlignment w:val="auto"/>
        <w:rPr>
          <w:rFonts w:ascii="仿宋_GB2312" w:hAnsi="仿宋_GB2312" w:eastAsia="仿宋_GB2312" w:cs="仿宋_GB2312"/>
          <w:bCs/>
          <w:sz w:val="32"/>
          <w:szCs w:val="32"/>
        </w:rPr>
      </w:pPr>
      <w:r>
        <w:rPr>
          <w:rFonts w:hint="eastAsia" w:ascii="仿宋_GB2312" w:hAnsi="仿宋_GB2312" w:eastAsia="仿宋_GB2312" w:cs="仿宋_GB2312"/>
          <w:bCs/>
          <w:sz w:val="32"/>
          <w:szCs w:val="32"/>
        </w:rPr>
        <w:t>网点宣传突出“科技战役 创新强国”主题，播放“2020国家网络安全宣传周”动漫小视频，引导前来办理业务的客户了解相关知识。</w:t>
      </w:r>
    </w:p>
    <w:p>
      <w:pPr>
        <w:pStyle w:val="2"/>
        <w:keepNext w:val="0"/>
        <w:keepLines w:val="0"/>
        <w:pageBreakBefore w:val="0"/>
        <w:widowControl w:val="0"/>
        <w:kinsoku/>
        <w:wordWrap/>
        <w:overflowPunct/>
        <w:topLinePunct w:val="0"/>
        <w:autoSpaceDE/>
        <w:autoSpaceDN/>
        <w:bidi w:val="0"/>
        <w:adjustRightInd/>
        <w:snapToGrid w:val="0"/>
        <w:spacing w:line="620" w:lineRule="exact"/>
        <w:ind w:firstLine="640" w:firstLineChars="200"/>
        <w:textAlignment w:val="auto"/>
        <w:rPr>
          <w:rFonts w:ascii="仿宋_GB2312" w:hAnsi="仿宋_GB2312" w:eastAsia="仿宋_GB2312" w:cs="仿宋_GB2312"/>
          <w:bCs/>
          <w:sz w:val="32"/>
          <w:szCs w:val="32"/>
        </w:rPr>
      </w:pPr>
      <w:r>
        <w:rPr>
          <w:rFonts w:hint="eastAsia" w:ascii="仿宋_GB2312" w:hAnsi="仿宋_GB2312" w:eastAsia="仿宋_GB2312" w:cs="仿宋_GB2312"/>
          <w:bCs/>
          <w:sz w:val="32"/>
          <w:szCs w:val="32"/>
        </w:rPr>
        <w:t>户外宣传围绕“什么是金融科技”“如何让手机银行更安全”“金融消费密码注意事项”等相关金融知识，宣讲金融助力复工复产等方面作用。</w:t>
      </w:r>
    </w:p>
    <w:p>
      <w:pPr>
        <w:pStyle w:val="2"/>
        <w:spacing w:line="360" w:lineRule="auto"/>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 xml:space="preserve"> </w:t>
      </w:r>
    </w:p>
    <w:p>
      <w:pPr>
        <w:pStyle w:val="2"/>
        <w:spacing w:line="360" w:lineRule="auto"/>
        <w:ind w:firstLine="640" w:firstLineChars="200"/>
        <w:rPr>
          <w:rFonts w:ascii="仿宋_GB2312" w:hAnsi="仿宋_GB2312" w:eastAsia="仿宋_GB2312" w:cs="仿宋_GB2312"/>
          <w:bCs/>
          <w:sz w:val="32"/>
          <w:szCs w:val="32"/>
        </w:rPr>
      </w:pPr>
    </w:p>
    <w:p>
      <w:pPr>
        <w:ind w:firstLine="420" w:firstLineChars="200"/>
        <w:rPr>
          <w:rFonts w:ascii="仿宋" w:hAnsi="仿宋" w:eastAsia="仿宋" w:cs="仿宋"/>
          <w:bCs/>
          <w:kern w:val="0"/>
          <w:sz w:val="32"/>
          <w:szCs w:val="32"/>
        </w:rPr>
      </w:pPr>
      <w:r>
        <mc:AlternateContent>
          <mc:Choice Requires="wps">
            <w:drawing>
              <wp:anchor distT="0" distB="0" distL="114300" distR="114300" simplePos="0" relativeHeight="251659264" behindDoc="0" locked="0" layoutInCell="1" allowOverlap="1">
                <wp:simplePos x="0" y="0"/>
                <wp:positionH relativeFrom="column">
                  <wp:posOffset>41910</wp:posOffset>
                </wp:positionH>
                <wp:positionV relativeFrom="paragraph">
                  <wp:posOffset>62865</wp:posOffset>
                </wp:positionV>
                <wp:extent cx="1943100" cy="501650"/>
                <wp:effectExtent l="19050" t="19050" r="19050" b="31750"/>
                <wp:wrapNone/>
                <wp:docPr id="5" name="文本框 5"/>
                <wp:cNvGraphicFramePr/>
                <a:graphic xmlns:a="http://schemas.openxmlformats.org/drawingml/2006/main">
                  <a:graphicData uri="http://schemas.microsoft.com/office/word/2010/wordprocessingShape">
                    <wps:wsp>
                      <wps:cNvSpPr txBox="1"/>
                      <wps:spPr>
                        <a:xfrm>
                          <a:off x="0" y="0"/>
                          <a:ext cx="1943100" cy="501650"/>
                        </a:xfrm>
                        <a:prstGeom prst="rect">
                          <a:avLst/>
                        </a:prstGeom>
                        <a:solidFill>
                          <a:srgbClr val="FFFFFF"/>
                        </a:solidFill>
                        <a:ln w="38100" cap="flat" cmpd="sng">
                          <a:solidFill>
                            <a:srgbClr val="FF0000"/>
                          </a:solidFill>
                          <a:prstDash val="solid"/>
                          <a:miter/>
                          <a:headEnd type="none" w="med" len="med"/>
                          <a:tailEnd type="none" w="med" len="med"/>
                        </a:ln>
                        <a:effectLst/>
                      </wps:spPr>
                      <wps:txbx>
                        <w:txbxContent>
                          <w:p>
                            <w:pPr>
                              <w:rPr>
                                <w:rFonts w:eastAsia="楷体_GB2312"/>
                                <w:b/>
                                <w:sz w:val="44"/>
                              </w:rPr>
                            </w:pPr>
                            <w:r>
                              <w:rPr>
                                <w:rFonts w:hint="eastAsia" w:eastAsia="楷体_GB2312"/>
                                <w:b/>
                                <w:sz w:val="44"/>
                              </w:rPr>
                              <w:t>金融监管专栏</w:t>
                            </w:r>
                          </w:p>
                        </w:txbxContent>
                      </wps:txbx>
                      <wps:bodyPr upright="1"/>
                    </wps:wsp>
                  </a:graphicData>
                </a:graphic>
              </wp:anchor>
            </w:drawing>
          </mc:Choice>
          <mc:Fallback>
            <w:pict>
              <v:shape id="_x0000_s1026" o:spid="_x0000_s1026" o:spt="202" type="#_x0000_t202" style="position:absolute;left:0pt;margin-left:3.3pt;margin-top:4.95pt;height:39.5pt;width:153pt;z-index:251659264;mso-width-relative:page;mso-height-relative:page;" fillcolor="#FFFFFF" filled="t" stroked="t" coordsize="21600,21600" o:gfxdata="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ZLrXT9MAAAAGAQAADwAAAAAAAAABACAAAAAiAAAAZHJzL2Rvd25yZXYueG1sUEsBAhQA&#10;FAAAAAgAh07iQOwrZK73AQAA9wMAAA4AAAAAAAAAAQAgAAAAIgEAAGRycy9lMm9Eb2MueG1sUEsF&#10;BgAAAAAGAAYAWQEAAIsFAAAAAA==&#10;">
                <v:fill on="t" focussize="0,0"/>
                <v:stroke weight="3pt" color="#FF0000" joinstyle="miter"/>
                <v:imagedata o:title=""/>
                <o:lock v:ext="edit" aspectratio="f"/>
                <v:textbox>
                  <w:txbxContent>
                    <w:p>
                      <w:pPr>
                        <w:rPr>
                          <w:rFonts w:eastAsia="楷体_GB2312"/>
                          <w:b/>
                          <w:sz w:val="44"/>
                        </w:rPr>
                      </w:pPr>
                      <w:r>
                        <w:rPr>
                          <w:rFonts w:hint="eastAsia" w:eastAsia="楷体_GB2312"/>
                          <w:b/>
                          <w:sz w:val="44"/>
                        </w:rPr>
                        <w:t>金融监管专栏</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rPr>
          <w:rFonts w:ascii="仿宋" w:hAnsi="仿宋" w:eastAsia="仿宋" w:cs="仿宋"/>
          <w:bCs/>
          <w:kern w:val="0"/>
          <w:sz w:val="32"/>
          <w:szCs w:val="32"/>
        </w:rPr>
      </w:pPr>
      <w:r>
        <w:rPr>
          <w:rFonts w:hint="eastAsia" w:ascii="仿宋" w:hAnsi="仿宋" w:eastAsia="仿宋" w:cs="仿宋"/>
          <w:bCs/>
          <w:kern w:val="0"/>
          <w:sz w:val="32"/>
          <w:szCs w:val="32"/>
        </w:rPr>
        <w:drawing>
          <wp:anchor distT="0" distB="0" distL="114300" distR="114300" simplePos="0" relativeHeight="251654144" behindDoc="0" locked="0" layoutInCell="1" allowOverlap="1">
            <wp:simplePos x="0" y="0"/>
            <wp:positionH relativeFrom="column">
              <wp:posOffset>-22225</wp:posOffset>
            </wp:positionH>
            <wp:positionV relativeFrom="paragraph">
              <wp:posOffset>348615</wp:posOffset>
            </wp:positionV>
            <wp:extent cx="3646170" cy="2499995"/>
            <wp:effectExtent l="0" t="0" r="11430" b="14605"/>
            <wp:wrapSquare wrapText="bothSides"/>
            <wp:docPr id="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1"/>
                    </pic:cNvPicPr>
                  </pic:nvPicPr>
                  <pic:blipFill>
                    <a:blip r:embed="rId8"/>
                    <a:stretch>
                      <a:fillRect/>
                    </a:stretch>
                  </pic:blipFill>
                  <pic:spPr>
                    <a:xfrm>
                      <a:off x="0" y="0"/>
                      <a:ext cx="3646170" cy="2499995"/>
                    </a:xfrm>
                    <a:prstGeom prst="rect">
                      <a:avLst/>
                    </a:prstGeom>
                  </pic:spPr>
                </pic:pic>
              </a:graphicData>
            </a:graphic>
          </wp:anchor>
        </w:drawing>
      </w:r>
      <w:r>
        <w:rPr>
          <w:rFonts w:hint="eastAsia" w:ascii="仿宋" w:hAnsi="仿宋" w:eastAsia="仿宋" w:cs="仿宋"/>
          <w:bCs/>
          <w:kern w:val="0"/>
          <w:sz w:val="32"/>
          <w:szCs w:val="32"/>
        </w:rPr>
        <w:t>8月6日下午，县委常委、常务副县长王宏峥在县人行二楼会议室主持召开防范和处置非法集资工作领导小组暨涉及地方金融领域扫黑除恶专项斗争会议，总结上半年防范和处置非法集资和涉及地方金融领域扫黑除恶专项斗争工作，部署下一步工作。</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rPr>
          <w:rFonts w:ascii="仿宋" w:hAnsi="仿宋" w:eastAsia="仿宋" w:cs="仿宋"/>
          <w:bCs/>
          <w:kern w:val="0"/>
          <w:sz w:val="32"/>
          <w:szCs w:val="32"/>
        </w:rPr>
      </w:pPr>
      <w:r>
        <w:rPr>
          <w:rFonts w:hint="eastAsia" w:ascii="仿宋" w:hAnsi="仿宋" w:eastAsia="仿宋" w:cs="仿宋"/>
          <w:bCs/>
          <w:kern w:val="0"/>
          <w:sz w:val="32"/>
          <w:szCs w:val="32"/>
        </w:rPr>
        <w:t>会上,王宏峥提出三点意见。一是提高政治站位，深刻认识防范和处置非法集资和涉及地方金融领域扫黑除恶专项斗争的重要意义。二是切实履职尽责，认真落实防范和处置非法集资和涉及地方金融领域扫黑除恶专项斗争工作要求。三是建立长效机制，巩固防范和处置非法集资和涉及地方金融领域扫黑除恶专项斗争工作成果。</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rPr>
        <w:t>会后，县处非办</w:t>
      </w:r>
      <w:r>
        <w:rPr>
          <w:rFonts w:hint="eastAsia" w:ascii="仿宋" w:hAnsi="仿宋" w:eastAsia="仿宋"/>
          <w:sz w:val="32"/>
          <w:szCs w:val="32"/>
        </w:rPr>
        <w:t>按照处非领导小组成员单位工作职责，针对农民专业合作社、金融广告、旅行社、预付卡、住建、养老托老、供销社、美容美发医疗、培训教育机构等重点领域向行业主管部门下达工作提示单，督促主管部门加强摸排，</w:t>
      </w:r>
      <w:r>
        <w:rPr>
          <w:rFonts w:hint="eastAsia" w:ascii="仿宋" w:hAnsi="仿宋" w:eastAsia="仿宋" w:cs="仿宋"/>
          <w:sz w:val="32"/>
          <w:szCs w:val="32"/>
        </w:rPr>
        <w:t>定期上报工作进度，做到打早、打小，防患风险于未然。</w:t>
      </w:r>
    </w:p>
    <w:p>
      <w:pPr>
        <w:rPr>
          <w:rFonts w:ascii="仿宋" w:hAnsi="仿宋" w:eastAsia="仿宋" w:cs="仿宋"/>
          <w:sz w:val="32"/>
          <w:szCs w:val="32"/>
        </w:rPr>
      </w:pPr>
      <w:r>
        <mc:AlternateContent>
          <mc:Choice Requires="wps">
            <w:drawing>
              <wp:anchor distT="0" distB="0" distL="114300" distR="114300" simplePos="0" relativeHeight="251661312" behindDoc="1" locked="0" layoutInCell="1" allowOverlap="1">
                <wp:simplePos x="0" y="0"/>
                <wp:positionH relativeFrom="column">
                  <wp:posOffset>38100</wp:posOffset>
                </wp:positionH>
                <wp:positionV relativeFrom="paragraph">
                  <wp:posOffset>147955</wp:posOffset>
                </wp:positionV>
                <wp:extent cx="1947545" cy="450215"/>
                <wp:effectExtent l="19050" t="19050" r="33655" b="26035"/>
                <wp:wrapTight wrapText="bothSides">
                  <wp:wrapPolygon>
                    <wp:start x="-212" y="-919"/>
                    <wp:lineTo x="-212" y="22060"/>
                    <wp:lineTo x="21812" y="22060"/>
                    <wp:lineTo x="21812" y="-919"/>
                    <wp:lineTo x="-212" y="-919"/>
                  </wp:wrapPolygon>
                </wp:wrapTight>
                <wp:docPr id="4" name="文本框 3"/>
                <wp:cNvGraphicFramePr/>
                <a:graphic xmlns:a="http://schemas.openxmlformats.org/drawingml/2006/main">
                  <a:graphicData uri="http://schemas.microsoft.com/office/word/2010/wordprocessingShape">
                    <wps:wsp>
                      <wps:cNvSpPr txBox="1"/>
                      <wps:spPr>
                        <a:xfrm>
                          <a:off x="0" y="0"/>
                          <a:ext cx="1947545" cy="450215"/>
                        </a:xfrm>
                        <a:prstGeom prst="rect">
                          <a:avLst/>
                        </a:prstGeom>
                        <a:solidFill>
                          <a:srgbClr val="FFFFFF"/>
                        </a:solidFill>
                        <a:ln w="38100" cap="flat" cmpd="sng">
                          <a:solidFill>
                            <a:srgbClr val="FF0000"/>
                          </a:solidFill>
                          <a:prstDash val="solid"/>
                          <a:miter/>
                          <a:headEnd type="none" w="med" len="med"/>
                          <a:tailEnd type="none" w="med" len="med"/>
                        </a:ln>
                        <a:effectLst/>
                      </wps:spPr>
                      <wps:txbx>
                        <w:txbxContent>
                          <w:p>
                            <w:pPr>
                              <w:rPr>
                                <w:rFonts w:eastAsia="楷体_GB2312"/>
                                <w:b/>
                                <w:sz w:val="44"/>
                              </w:rPr>
                            </w:pPr>
                            <w:r>
                              <w:rPr>
                                <w:rFonts w:hint="eastAsia" w:eastAsia="楷体_GB2312"/>
                                <w:b/>
                                <w:sz w:val="44"/>
                              </w:rPr>
                              <w:t>金融扶贫专栏</w:t>
                            </w:r>
                          </w:p>
                        </w:txbxContent>
                      </wps:txbx>
                      <wps:bodyPr upright="1"/>
                    </wps:wsp>
                  </a:graphicData>
                </a:graphic>
              </wp:anchor>
            </w:drawing>
          </mc:Choice>
          <mc:Fallback>
            <w:pict>
              <v:shape id="文本框 3" o:spid="_x0000_s1026" o:spt="202" type="#_x0000_t202" style="position:absolute;left:0pt;margin-left:3pt;margin-top:11.65pt;height:35.45pt;width:153.35pt;mso-wrap-distance-left:9pt;mso-wrap-distance-right:9pt;z-index:-251655168;mso-width-relative:page;mso-height-relative:page;" fillcolor="#FFFFFF" filled="t" stroked="t" coordsize="21600,21600" wrapcoords="-212 -919 -212 22060 21812 22060 21812 -919 -212 -919" o:gfxdata="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p8Y0Z1gAAAAcBAAAPAAAAAAAAAAEAIAAAACIAAABkcnMvZG93bnJldi54bWxQSwEC&#10;FAAUAAAACACHTuJAycHSVPYBAAD3AwAADgAAAAAAAAABACAAAAAlAQAAZHJzL2Uyb0RvYy54bWxQ&#10;SwUGAAAAAAYABgBZAQAAjQUAAAAA&#10;">
                <v:fill on="t" focussize="0,0"/>
                <v:stroke weight="3pt" color="#FF0000" joinstyle="miter"/>
                <v:imagedata o:title=""/>
                <o:lock v:ext="edit" aspectratio="f"/>
                <v:textbox>
                  <w:txbxContent>
                    <w:p>
                      <w:pPr>
                        <w:rPr>
                          <w:rFonts w:eastAsia="楷体_GB2312"/>
                          <w:b/>
                          <w:sz w:val="44"/>
                        </w:rPr>
                      </w:pPr>
                      <w:r>
                        <w:rPr>
                          <w:rFonts w:hint="eastAsia" w:eastAsia="楷体_GB2312"/>
                          <w:b/>
                          <w:sz w:val="44"/>
                        </w:rPr>
                        <w:t>金融扶贫专栏</w:t>
                      </w:r>
                    </w:p>
                  </w:txbxContent>
                </v:textbox>
                <w10:wrap type="tight"/>
              </v:shape>
            </w:pict>
          </mc:Fallback>
        </mc:AlternateContent>
      </w:r>
    </w:p>
    <w:p>
      <w:pPr>
        <w:pStyle w:val="2"/>
      </w:pP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drawing>
          <wp:anchor distT="0" distB="0" distL="114300" distR="114300" simplePos="0" relativeHeight="251655168" behindDoc="0" locked="0" layoutInCell="1" allowOverlap="1">
            <wp:simplePos x="0" y="0"/>
            <wp:positionH relativeFrom="column">
              <wp:posOffset>-22225</wp:posOffset>
            </wp:positionH>
            <wp:positionV relativeFrom="paragraph">
              <wp:posOffset>394970</wp:posOffset>
            </wp:positionV>
            <wp:extent cx="3472180" cy="2614930"/>
            <wp:effectExtent l="0" t="0" r="13970" b="13970"/>
            <wp:wrapSquare wrapText="bothSides"/>
            <wp:docPr id="12" name="图片 1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2"/>
                    <pic:cNvPicPr>
                      <a:picLocks noChangeAspect="1"/>
                    </pic:cNvPicPr>
                  </pic:nvPicPr>
                  <pic:blipFill>
                    <a:blip r:embed="rId9"/>
                    <a:stretch>
                      <a:fillRect/>
                    </a:stretch>
                  </pic:blipFill>
                  <pic:spPr>
                    <a:xfrm>
                      <a:off x="0" y="0"/>
                      <a:ext cx="3472180" cy="2614930"/>
                    </a:xfrm>
                    <a:prstGeom prst="rect">
                      <a:avLst/>
                    </a:prstGeom>
                  </pic:spPr>
                </pic:pic>
              </a:graphicData>
            </a:graphic>
          </wp:anchor>
        </w:drawing>
      </w:r>
      <w:r>
        <w:rPr>
          <w:rFonts w:hint="eastAsia" w:ascii="仿宋_GB2312" w:hAnsi="仿宋_GB2312" w:eastAsia="仿宋_GB2312" w:cs="仿宋_GB2312"/>
          <w:color w:val="000000"/>
          <w:sz w:val="32"/>
          <w:szCs w:val="32"/>
        </w:rPr>
        <w:t>截止8月底，全县扶贫小额信贷贷款余额1060.6万元，涉及贫困户224户，其中：户贷户用贷款余额230.6万元，58户；三合模式贷款余额830万元，166户，涉及企业32户。</w:t>
      </w:r>
    </w:p>
    <w:p>
      <w:pPr>
        <w:pStyle w:val="2"/>
        <w:keepNext w:val="0"/>
        <w:keepLines w:val="0"/>
        <w:pageBreakBefore w:val="0"/>
        <w:kinsoku/>
        <w:wordWrap/>
        <w:overflowPunct/>
        <w:topLinePunct w:val="0"/>
        <w:autoSpaceDE/>
        <w:autoSpaceDN/>
        <w:bidi w:val="0"/>
        <w:adjustRightInd/>
        <w:spacing w:line="58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全力做好小额扶贫信贷投放。一是全面摸排受灾情况，建立受灾贷款贫困户台账，督促农商行采取有效措施，解决贷款贫困户因灾造成还款难问题；二是严格落实政策，合理延期到期贷款，通过办理续贷、展期等方式缓解贫困户还款困难，续贷、展期期间继续执行原合同条款，各项政策保持不变。全县因灾帮扶46户贫困户，发放219万元扶贫贷款。</w:t>
      </w:r>
    </w:p>
    <w:p>
      <w:pPr>
        <w:pStyle w:val="2"/>
        <w:keepNext w:val="0"/>
        <w:keepLines w:val="0"/>
        <w:pageBreakBefore w:val="0"/>
        <w:kinsoku/>
        <w:wordWrap/>
        <w:overflowPunct/>
        <w:topLinePunct w:val="0"/>
        <w:autoSpaceDE/>
        <w:autoSpaceDN/>
        <w:bidi w:val="0"/>
        <w:adjustRightInd/>
        <w:spacing w:line="58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加快推进农业保险理赔。一是引导国元保险第一时间对贫困户受灾情况进行现场查勘,核定受损数量、确定损失率；二是督促保险公司为贫困户开辟绿色通道，做到“应赔尽赔快赔”。据统计，今年水灾贫困户水稻理赔预计赔付贫困户17户，面积56.2亩，金额7940元。</w:t>
      </w:r>
    </w:p>
    <w:p>
      <w:pPr>
        <w:pStyle w:val="2"/>
        <w:keepNext w:val="0"/>
        <w:keepLines w:val="0"/>
        <w:pageBreakBefore w:val="0"/>
        <w:kinsoku/>
        <w:wordWrap/>
        <w:overflowPunct/>
        <w:topLinePunct w:val="0"/>
        <w:autoSpaceDE/>
        <w:autoSpaceDN/>
        <w:bidi w:val="0"/>
        <w:adjustRightInd/>
        <w:spacing w:line="580" w:lineRule="exact"/>
        <w:ind w:firstLine="640" w:firstLineChars="200"/>
        <w:textAlignment w:val="auto"/>
        <w:rPr>
          <w:rFonts w:ascii="仿宋_GB2312" w:hAnsi="仿宋_GB2312" w:eastAsia="仿宋_GB2312" w:cs="仿宋_GB2312"/>
          <w:sz w:val="32"/>
          <w:szCs w:val="32"/>
        </w:rPr>
      </w:pPr>
    </w:p>
    <w:p>
      <w:pPr>
        <w:pStyle w:val="5"/>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ascii="仿宋_GB2312" w:hAnsi="仿宋_GB2312" w:eastAsia="仿宋_GB2312" w:cs="仿宋_GB2312"/>
          <w:color w:val="000000"/>
          <w:kern w:val="2"/>
          <w:sz w:val="32"/>
          <w:szCs w:val="32"/>
        </w:rPr>
      </w:pPr>
    </w:p>
    <w:p>
      <w:pPr>
        <w:pStyle w:val="5"/>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60" w:lineRule="exact"/>
        <w:ind w:firstLine="480" w:firstLineChars="200"/>
        <w:jc w:val="both"/>
        <w:textAlignment w:val="auto"/>
        <w:rPr>
          <w:rFonts w:ascii="仿宋_GB2312" w:hAnsi="仿宋_GB2312" w:eastAsia="仿宋_GB2312" w:cs="仿宋_GB2312"/>
          <w:color w:val="000000"/>
          <w:kern w:val="2"/>
          <w:sz w:val="32"/>
          <w:szCs w:val="32"/>
        </w:rPr>
      </w:pPr>
      <w:r>
        <mc:AlternateContent>
          <mc:Choice Requires="wps">
            <w:drawing>
              <wp:anchor distT="0" distB="0" distL="114300" distR="114300" simplePos="0" relativeHeight="251656192" behindDoc="0" locked="0" layoutInCell="1" allowOverlap="1">
                <wp:simplePos x="0" y="0"/>
                <wp:positionH relativeFrom="column">
                  <wp:posOffset>123825</wp:posOffset>
                </wp:positionH>
                <wp:positionV relativeFrom="paragraph">
                  <wp:posOffset>10795</wp:posOffset>
                </wp:positionV>
                <wp:extent cx="1933575" cy="495300"/>
                <wp:effectExtent l="19050" t="19050" r="28575" b="19050"/>
                <wp:wrapNone/>
                <wp:docPr id="6" name="文本框 6"/>
                <wp:cNvGraphicFramePr/>
                <a:graphic xmlns:a="http://schemas.openxmlformats.org/drawingml/2006/main">
                  <a:graphicData uri="http://schemas.microsoft.com/office/word/2010/wordprocessingShape">
                    <wps:wsp>
                      <wps:cNvSpPr txBox="1"/>
                      <wps:spPr>
                        <a:xfrm>
                          <a:off x="0" y="0"/>
                          <a:ext cx="1933575" cy="495300"/>
                        </a:xfrm>
                        <a:prstGeom prst="rect">
                          <a:avLst/>
                        </a:prstGeom>
                        <a:solidFill>
                          <a:srgbClr val="FFFFFF"/>
                        </a:solidFill>
                        <a:ln w="38100" cap="flat" cmpd="sng">
                          <a:solidFill>
                            <a:srgbClr val="FF0000"/>
                          </a:solidFill>
                          <a:prstDash val="solid"/>
                          <a:miter/>
                          <a:headEnd type="none" w="med" len="med"/>
                          <a:tailEnd type="none" w="med" len="med"/>
                        </a:ln>
                        <a:effectLst/>
                      </wps:spPr>
                      <wps:txbx>
                        <w:txbxContent>
                          <w:p>
                            <w:pPr>
                              <w:jc w:val="center"/>
                              <w:rPr>
                                <w:rFonts w:ascii="楷体_GB2312" w:eastAsia="楷体_GB2312"/>
                                <w:b/>
                                <w:sz w:val="44"/>
                                <w:szCs w:val="44"/>
                              </w:rPr>
                            </w:pPr>
                            <w:r>
                              <w:rPr>
                                <w:rFonts w:hint="eastAsia" w:ascii="楷体_GB2312" w:eastAsia="楷体_GB2312"/>
                                <w:b/>
                                <w:sz w:val="44"/>
                                <w:szCs w:val="44"/>
                              </w:rPr>
                              <w:t>金融政策专栏</w:t>
                            </w:r>
                          </w:p>
                        </w:txbxContent>
                      </wps:txbx>
                      <wps:bodyPr upright="1"/>
                    </wps:wsp>
                  </a:graphicData>
                </a:graphic>
              </wp:anchor>
            </w:drawing>
          </mc:Choice>
          <mc:Fallback>
            <w:pict>
              <v:shape id="_x0000_s1026" o:spid="_x0000_s1026" o:spt="202" type="#_x0000_t202" style="position:absolute;left:0pt;margin-left:9.75pt;margin-top:0.85pt;height:39pt;width:152.25pt;z-index:251656192;mso-width-relative:page;mso-height-relative:page;" fillcolor="#FFFFFF" filled="t" stroked="t" coordsize="21600,21600" o:gfxdata="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PAZBy1gAAAAcBAAAPAAAAAAAAAAEAIAAAACIAAABkcnMvZG93bnJldi54bWxQ&#10;SwECFAAUAAAACACHTuJA2n7qivkBAAD3AwAADgAAAAAAAAABACAAAAAlAQAAZHJzL2Uyb0RvYy54&#10;bWxQSwUGAAAAAAYABgBZAQAAkAUAAAAA&#10;">
                <v:fill on="t" focussize="0,0"/>
                <v:stroke weight="3pt" color="#FF0000" joinstyle="miter"/>
                <v:imagedata o:title=""/>
                <o:lock v:ext="edit" aspectratio="f"/>
                <v:textbox>
                  <w:txbxContent>
                    <w:p>
                      <w:pPr>
                        <w:jc w:val="center"/>
                        <w:rPr>
                          <w:rFonts w:ascii="楷体_GB2312" w:eastAsia="楷体_GB2312"/>
                          <w:b/>
                          <w:sz w:val="44"/>
                          <w:szCs w:val="44"/>
                        </w:rPr>
                      </w:pPr>
                      <w:r>
                        <w:rPr>
                          <w:rFonts w:hint="eastAsia" w:ascii="楷体_GB2312" w:eastAsia="楷体_GB2312"/>
                          <w:b/>
                          <w:sz w:val="44"/>
                          <w:szCs w:val="44"/>
                        </w:rPr>
                        <w:t>金融政策专栏</w:t>
                      </w:r>
                    </w:p>
                  </w:txbxContent>
                </v:textbox>
              </v:shape>
            </w:pict>
          </mc:Fallback>
        </mc:AlternateContent>
      </w:r>
    </w:p>
    <w:p>
      <w:pPr>
        <w:pStyle w:val="5"/>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20" w:lineRule="exact"/>
        <w:jc w:val="both"/>
        <w:textAlignment w:val="auto"/>
        <w:rPr>
          <w:rFonts w:ascii="仿宋_GB2312" w:hAnsi="仿宋_GB2312" w:eastAsia="仿宋_GB2312" w:cs="仿宋_GB2312"/>
          <w:color w:val="000000"/>
          <w:kern w:val="2"/>
          <w:sz w:val="32"/>
          <w:szCs w:val="32"/>
        </w:rPr>
      </w:pPr>
    </w:p>
    <w:p>
      <w:pPr>
        <w:pStyle w:val="5"/>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40" w:lineRule="exact"/>
        <w:ind w:firstLine="640" w:firstLineChars="200"/>
        <w:jc w:val="both"/>
        <w:textAlignment w:val="auto"/>
        <w:rPr>
          <w:rFonts w:ascii="仿宋_GB2312" w:hAnsi="仿宋_GB2312" w:eastAsia="仿宋_GB2312" w:cs="仿宋_GB2312"/>
          <w:color w:val="000000"/>
          <w:kern w:val="2"/>
          <w:sz w:val="32"/>
          <w:szCs w:val="32"/>
        </w:rPr>
      </w:pPr>
      <w:r>
        <w:rPr>
          <w:rFonts w:ascii="仿宋_GB2312" w:hAnsi="仿宋_GB2312" w:eastAsia="仿宋_GB2312" w:cs="仿宋_GB2312"/>
          <w:color w:val="000000"/>
          <w:kern w:val="2"/>
          <w:sz w:val="32"/>
          <w:szCs w:val="32"/>
        </w:rPr>
        <w:t>8月25日，人民银行</w:t>
      </w:r>
      <w:r>
        <w:rPr>
          <w:rFonts w:hint="eastAsia" w:ascii="仿宋_GB2312" w:hAnsi="仿宋_GB2312" w:eastAsia="仿宋_GB2312" w:cs="仿宋_GB2312"/>
          <w:color w:val="000000"/>
          <w:kern w:val="2"/>
          <w:sz w:val="32"/>
          <w:szCs w:val="32"/>
        </w:rPr>
        <w:t>总行</w:t>
      </w:r>
      <w:r>
        <w:rPr>
          <w:rFonts w:ascii="仿宋_GB2312" w:hAnsi="仿宋_GB2312" w:eastAsia="仿宋_GB2312" w:cs="仿宋_GB2312"/>
          <w:color w:val="000000"/>
          <w:kern w:val="2"/>
          <w:sz w:val="32"/>
          <w:szCs w:val="32"/>
        </w:rPr>
        <w:t>在北京召开金融支持稳企业保就业工作推进会</w:t>
      </w:r>
      <w:r>
        <w:rPr>
          <w:rFonts w:hint="eastAsia" w:ascii="仿宋_GB2312" w:hAnsi="仿宋_GB2312" w:eastAsia="仿宋_GB2312" w:cs="仿宋_GB2312"/>
          <w:color w:val="000000"/>
          <w:kern w:val="2"/>
          <w:sz w:val="32"/>
          <w:szCs w:val="32"/>
        </w:rPr>
        <w:t>。人民银行党委委员、副行长潘功胜主持会议并讲话。</w:t>
      </w:r>
    </w:p>
    <w:p>
      <w:pPr>
        <w:pStyle w:val="5"/>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40" w:lineRule="exact"/>
        <w:ind w:firstLine="640" w:firstLineChars="200"/>
        <w:jc w:val="both"/>
        <w:textAlignment w:val="auto"/>
        <w:rPr>
          <w:rFonts w:ascii="仿宋_GB2312" w:hAnsi="仿宋_GB2312" w:eastAsia="仿宋_GB2312" w:cs="仿宋_GB2312"/>
          <w:color w:val="000000"/>
          <w:kern w:val="2"/>
          <w:sz w:val="32"/>
          <w:szCs w:val="32"/>
        </w:rPr>
      </w:pPr>
      <w:r>
        <w:rPr>
          <w:rFonts w:hint="eastAsia" w:ascii="仿宋_GB2312" w:hAnsi="仿宋_GB2312" w:eastAsia="仿宋_GB2312" w:cs="仿宋_GB2312"/>
          <w:color w:val="000000"/>
          <w:kern w:val="2"/>
          <w:sz w:val="32"/>
          <w:szCs w:val="32"/>
        </w:rPr>
        <w:t>会议认真学习领会习近平总书记7月21日在企业家座谈会上重要讲话和一系列重要指示精神，要求人民银行系统坚决落实党中央、国务院决策部署，进一步提高政治站位，强化责任担当，推动用好中小微企业贷款延期还本付息和普惠小微信用贷款支持等金融政策工具，继续加大对各类市场主体金融支持，增强中小微企业的获得感，确保完成金融支持稳企业保就业各项目标任务。</w:t>
      </w:r>
    </w:p>
    <w:p>
      <w:pPr>
        <w:pStyle w:val="5"/>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40" w:lineRule="exact"/>
        <w:ind w:firstLine="640" w:firstLineChars="200"/>
        <w:jc w:val="both"/>
        <w:textAlignment w:val="auto"/>
        <w:rPr>
          <w:rFonts w:hint="eastAsia" w:ascii="仿宋_GB2312" w:hAnsi="仿宋_GB2312" w:eastAsia="仿宋_GB2312" w:cs="仿宋_GB2312"/>
          <w:color w:val="000000"/>
          <w:kern w:val="2"/>
          <w:sz w:val="32"/>
          <w:szCs w:val="32"/>
        </w:rPr>
      </w:pPr>
      <w:r>
        <w:rPr>
          <w:rFonts w:hint="eastAsia" w:ascii="仿宋_GB2312" w:hAnsi="仿宋_GB2312" w:eastAsia="仿宋_GB2312" w:cs="仿宋_GB2312"/>
          <w:color w:val="000000"/>
          <w:kern w:val="2"/>
          <w:sz w:val="32"/>
          <w:szCs w:val="32"/>
        </w:rPr>
        <w:t>会议强调，要推动商业银行持续提升中小微企业金融服务能力，督促改进内部资源配置和政策安排，确保实现“增量、降价、提质、扩面”。要配合地方政府完善融资担保、风险分担、征信体系建设等融资配套机制，营造良好的政策环境。要加大制造业特别是高技术制造业中长期融资支持力度，创新金融产品和服务。继续加大对“三区三州”深度贫困地区和52个未摘帽县的金融支持力度。要继续完善打赢精准脱贫攻坚战后的金融支持政策，做好与乡村振兴金融服务的有效衔接。</w:t>
      </w:r>
      <w:bookmarkStart w:id="0" w:name="_GoBack"/>
      <w:bookmarkEnd w:id="0"/>
    </w:p>
    <w:p>
      <w:pPr>
        <w:pStyle w:val="5"/>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20" w:lineRule="exact"/>
        <w:jc w:val="both"/>
        <w:textAlignment w:val="auto"/>
        <w:rPr>
          <w:rFonts w:hint="eastAsia" w:ascii="仿宋_GB2312" w:hAnsi="仿宋_GB2312" w:eastAsia="仿宋_GB2312" w:cs="仿宋_GB2312"/>
          <w:color w:val="000000"/>
          <w:kern w:val="2"/>
          <w:sz w:val="32"/>
          <w:szCs w:val="32"/>
        </w:rPr>
      </w:pPr>
    </w:p>
    <w:p>
      <w:pPr>
        <w:pStyle w:val="5"/>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60" w:lineRule="exact"/>
        <w:ind w:firstLine="420"/>
        <w:jc w:val="both"/>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w:t>
      </w:r>
      <w:r>
        <w:rPr>
          <w:rFonts w:ascii="仿宋_GB2312" w:hAnsi="仿宋_GB2312" w:eastAsia="仿宋_GB2312" w:cs="仿宋_GB2312"/>
          <w:b/>
          <w:bCs/>
          <w:sz w:val="32"/>
          <w:szCs w:val="32"/>
        </w:rPr>
        <w:t xml:space="preserve">                               </w:t>
      </w:r>
      <w:r>
        <w:rPr>
          <w:rFonts w:hint="eastAsia" w:ascii="仿宋_GB2312" w:hAnsi="仿宋_GB2312" w:eastAsia="仿宋_GB2312" w:cs="仿宋_GB2312"/>
          <w:b/>
          <w:bCs/>
          <w:sz w:val="32"/>
          <w:szCs w:val="32"/>
        </w:rPr>
        <w:t xml:space="preserve">                  </w:t>
      </w:r>
    </w:p>
    <w:p>
      <w:pPr>
        <w:keepNext w:val="0"/>
        <w:keepLines w:val="0"/>
        <w:pageBreakBefore w:val="0"/>
        <w:widowControl w:val="0"/>
        <w:pBdr>
          <w:top w:val="single" w:color="auto" w:sz="4" w:space="1"/>
        </w:pBdr>
        <w:kinsoku/>
        <w:wordWrap/>
        <w:overflowPunct/>
        <w:topLinePunct w:val="0"/>
        <w:autoSpaceDE/>
        <w:autoSpaceDN/>
        <w:bidi w:val="0"/>
        <w:adjustRightInd/>
        <w:snapToGrid/>
        <w:spacing w:line="500" w:lineRule="exact"/>
        <w:ind w:left="560" w:hanging="560" w:hangingChars="200"/>
        <w:textAlignment w:val="auto"/>
        <w:rPr>
          <w:rFonts w:hint="eastAsia" w:ascii="仿宋_GB2312" w:hAnsi="宋体" w:eastAsia="仿宋_GB2312"/>
          <w:sz w:val="28"/>
          <w:szCs w:val="28"/>
          <w:lang w:eastAsia="zh-CN"/>
        </w:rPr>
      </w:pPr>
      <w:r>
        <w:rPr>
          <w:rFonts w:hint="eastAsia" w:ascii="仿宋_GB2312" w:hAnsi="宋体" w:eastAsia="仿宋_GB2312"/>
          <w:sz w:val="28"/>
          <w:szCs w:val="28"/>
        </w:rPr>
        <w:t>报：县委办、人大办、政府办、政协办、各镇人民政府、县直各单位</w:t>
      </w:r>
      <w:r>
        <w:rPr>
          <w:rFonts w:hint="eastAsia" w:ascii="仿宋_GB2312" w:hAnsi="宋体" w:eastAsia="仿宋_GB2312"/>
          <w:sz w:val="28"/>
          <w:szCs w:val="28"/>
          <w:lang w:eastAsia="zh-CN"/>
        </w:rPr>
        <w:t>、四送一服办公室</w:t>
      </w:r>
    </w:p>
    <w:p>
      <w:pPr>
        <w:keepNext w:val="0"/>
        <w:keepLines w:val="0"/>
        <w:pageBreakBefore w:val="0"/>
        <w:widowControl w:val="0"/>
        <w:pBdr>
          <w:bottom w:val="single" w:color="auto" w:sz="12" w:space="1"/>
        </w:pBd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2"/>
          <w:sz w:val="32"/>
          <w:szCs w:val="32"/>
        </w:rPr>
      </w:pPr>
      <w:r>
        <w:rPr>
          <w:rFonts w:hint="eastAsia" w:ascii="仿宋_GB2312" w:hAnsi="宋体" w:eastAsia="仿宋_GB2312"/>
          <w:sz w:val="28"/>
          <w:szCs w:val="28"/>
        </w:rPr>
        <w:t>送：各</w:t>
      </w:r>
      <w:r>
        <w:rPr>
          <w:rFonts w:hint="eastAsia" w:ascii="仿宋_GB2312" w:hAnsi="宋体" w:eastAsia="仿宋_GB2312"/>
          <w:sz w:val="28"/>
          <w:szCs w:val="28"/>
          <w:lang w:eastAsia="zh-CN"/>
        </w:rPr>
        <w:t>银行业</w:t>
      </w:r>
      <w:r>
        <w:rPr>
          <w:rFonts w:hint="eastAsia" w:ascii="仿宋_GB2312" w:hAnsi="宋体" w:eastAsia="仿宋_GB2312"/>
          <w:sz w:val="28"/>
          <w:szCs w:val="28"/>
        </w:rPr>
        <w:t>金融机构、兴业融资担保公司</w:t>
      </w:r>
    </w:p>
    <w:sectPr>
      <w:headerReference r:id="rId3" w:type="default"/>
      <w:footerReference r:id="rId4" w:type="default"/>
      <w:footerReference r:id="rId5" w:type="even"/>
      <w:pgSz w:w="11906" w:h="16838"/>
      <w:pgMar w:top="1440" w:right="1800" w:bottom="1361"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onospace">
    <w:altName w:val="Segoe Print"/>
    <w:panose1 w:val="00000000000000000000"/>
    <w:charset w:val="00"/>
    <w:family w:val="auto"/>
    <w:pitch w:val="default"/>
    <w:sig w:usb0="00000000" w:usb1="00000000" w:usb2="00000000" w:usb3="00000000" w:csb0="00000001" w:csb1="00000000"/>
  </w:font>
  <w:font w:name="方正小标宋简体">
    <w:altName w:val="黑体"/>
    <w:panose1 w:val="00000000000000000000"/>
    <w:charset w:val="86"/>
    <w:family w:val="script"/>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text" w:hAnchor="margin" w:xAlign="center" w:y="1"/>
      <w:rPr>
        <w:rStyle w:val="10"/>
      </w:rPr>
    </w:pPr>
    <w:r>
      <w:rPr>
        <w:rStyle w:val="10"/>
      </w:rPr>
      <w:fldChar w:fldCharType="begin"/>
    </w:r>
    <w:r>
      <w:rPr>
        <w:rStyle w:val="10"/>
      </w:rPr>
      <w:instrText xml:space="preserve">PAGE  </w:instrText>
    </w:r>
    <w:r>
      <w:rPr>
        <w:rStyle w:val="10"/>
      </w:rPr>
      <w:fldChar w:fldCharType="separate"/>
    </w:r>
    <w:r>
      <w:rPr>
        <w:rStyle w:val="10"/>
      </w:rPr>
      <w:t>5</w:t>
    </w:r>
    <w:r>
      <w:rPr>
        <w:rStyle w:val="10"/>
      </w:rPr>
      <w:fldChar w:fldCharType="end"/>
    </w:r>
  </w:p>
  <w:p>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text" w:hAnchor="margin" w:xAlign="center" w:y="1"/>
      <w:rPr>
        <w:rStyle w:val="10"/>
      </w:rPr>
    </w:pPr>
    <w:r>
      <w:rPr>
        <w:rStyle w:val="10"/>
      </w:rPr>
      <w:fldChar w:fldCharType="begin"/>
    </w:r>
    <w:r>
      <w:rPr>
        <w:rStyle w:val="10"/>
      </w:rPr>
      <w:instrText xml:space="preserve">PAGE  </w:instrText>
    </w:r>
    <w:r>
      <w:rPr>
        <w:rStyle w:val="10"/>
      </w:rPr>
      <w:fldChar w:fldCharType="end"/>
    </w:r>
  </w:p>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ocumentProtection w:enforcement="0"/>
  <w:defaultTabStop w:val="420"/>
  <w:drawingGridVerticalSpacing w:val="156"/>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62F5611"/>
    <w:rsid w:val="000866AC"/>
    <w:rsid w:val="00156140"/>
    <w:rsid w:val="002649BD"/>
    <w:rsid w:val="00266D60"/>
    <w:rsid w:val="00272419"/>
    <w:rsid w:val="00296C3C"/>
    <w:rsid w:val="002A4885"/>
    <w:rsid w:val="002D72FC"/>
    <w:rsid w:val="002E2C93"/>
    <w:rsid w:val="00376645"/>
    <w:rsid w:val="00393479"/>
    <w:rsid w:val="003D0C65"/>
    <w:rsid w:val="003D5BCC"/>
    <w:rsid w:val="004458B0"/>
    <w:rsid w:val="004C265A"/>
    <w:rsid w:val="00531F4E"/>
    <w:rsid w:val="006200A9"/>
    <w:rsid w:val="006E0450"/>
    <w:rsid w:val="0073141D"/>
    <w:rsid w:val="007655B5"/>
    <w:rsid w:val="00783A7F"/>
    <w:rsid w:val="007B4AA8"/>
    <w:rsid w:val="00861DA6"/>
    <w:rsid w:val="00912B59"/>
    <w:rsid w:val="009A36E2"/>
    <w:rsid w:val="009A726D"/>
    <w:rsid w:val="009B322C"/>
    <w:rsid w:val="00A96898"/>
    <w:rsid w:val="00BA4849"/>
    <w:rsid w:val="00C20B4A"/>
    <w:rsid w:val="00C75AF0"/>
    <w:rsid w:val="00CB59F3"/>
    <w:rsid w:val="00D94EF0"/>
    <w:rsid w:val="00E74203"/>
    <w:rsid w:val="00E91903"/>
    <w:rsid w:val="00F12E0A"/>
    <w:rsid w:val="00F40CB7"/>
    <w:rsid w:val="00F4146E"/>
    <w:rsid w:val="022305AA"/>
    <w:rsid w:val="02DD1139"/>
    <w:rsid w:val="034F4D9F"/>
    <w:rsid w:val="04442A27"/>
    <w:rsid w:val="04726509"/>
    <w:rsid w:val="05481E04"/>
    <w:rsid w:val="05B96E86"/>
    <w:rsid w:val="06AF1B0E"/>
    <w:rsid w:val="073F7D55"/>
    <w:rsid w:val="08B75FD6"/>
    <w:rsid w:val="0CA1738F"/>
    <w:rsid w:val="0CE26C97"/>
    <w:rsid w:val="0D394E38"/>
    <w:rsid w:val="0E165B11"/>
    <w:rsid w:val="0E18037E"/>
    <w:rsid w:val="0EAC71FC"/>
    <w:rsid w:val="0EB625F0"/>
    <w:rsid w:val="0F612EBB"/>
    <w:rsid w:val="0F6D6E9F"/>
    <w:rsid w:val="10056408"/>
    <w:rsid w:val="113C7731"/>
    <w:rsid w:val="11693905"/>
    <w:rsid w:val="136C2412"/>
    <w:rsid w:val="13773CBC"/>
    <w:rsid w:val="13ED39BB"/>
    <w:rsid w:val="14507847"/>
    <w:rsid w:val="153659F8"/>
    <w:rsid w:val="1700379A"/>
    <w:rsid w:val="17804B60"/>
    <w:rsid w:val="17EA28F1"/>
    <w:rsid w:val="188D2373"/>
    <w:rsid w:val="1921205C"/>
    <w:rsid w:val="19E40E5E"/>
    <w:rsid w:val="1A690F0C"/>
    <w:rsid w:val="1AC03DCE"/>
    <w:rsid w:val="1AFA7D15"/>
    <w:rsid w:val="1BF16391"/>
    <w:rsid w:val="1C6A698A"/>
    <w:rsid w:val="1D9874F9"/>
    <w:rsid w:val="1DE73D6A"/>
    <w:rsid w:val="1E82404F"/>
    <w:rsid w:val="1EEA24CC"/>
    <w:rsid w:val="1F2A0F3C"/>
    <w:rsid w:val="206F6C37"/>
    <w:rsid w:val="20CC23C2"/>
    <w:rsid w:val="20ED194B"/>
    <w:rsid w:val="212A0506"/>
    <w:rsid w:val="22EA7831"/>
    <w:rsid w:val="230D108C"/>
    <w:rsid w:val="234540C0"/>
    <w:rsid w:val="23CB2068"/>
    <w:rsid w:val="24AB5A30"/>
    <w:rsid w:val="24F30AAA"/>
    <w:rsid w:val="24F866E4"/>
    <w:rsid w:val="25754F98"/>
    <w:rsid w:val="25776207"/>
    <w:rsid w:val="261D3BA2"/>
    <w:rsid w:val="262F5611"/>
    <w:rsid w:val="278025D5"/>
    <w:rsid w:val="27955AE4"/>
    <w:rsid w:val="27B318CA"/>
    <w:rsid w:val="28215511"/>
    <w:rsid w:val="28E6626D"/>
    <w:rsid w:val="2AE6632C"/>
    <w:rsid w:val="2BB5581C"/>
    <w:rsid w:val="2C9A6EB6"/>
    <w:rsid w:val="2D871473"/>
    <w:rsid w:val="2E3F5904"/>
    <w:rsid w:val="2EA0685A"/>
    <w:rsid w:val="2FDF76E7"/>
    <w:rsid w:val="304B4045"/>
    <w:rsid w:val="310015FF"/>
    <w:rsid w:val="31076BDE"/>
    <w:rsid w:val="311E229C"/>
    <w:rsid w:val="31241C5C"/>
    <w:rsid w:val="31383C84"/>
    <w:rsid w:val="31666F32"/>
    <w:rsid w:val="32056DCD"/>
    <w:rsid w:val="33293250"/>
    <w:rsid w:val="33FF2191"/>
    <w:rsid w:val="34462043"/>
    <w:rsid w:val="355D16BA"/>
    <w:rsid w:val="363A1B64"/>
    <w:rsid w:val="363D3BCC"/>
    <w:rsid w:val="374D1F65"/>
    <w:rsid w:val="37505E3F"/>
    <w:rsid w:val="37AB3C09"/>
    <w:rsid w:val="37FE039A"/>
    <w:rsid w:val="380005FE"/>
    <w:rsid w:val="38811F63"/>
    <w:rsid w:val="38D016D9"/>
    <w:rsid w:val="39201D65"/>
    <w:rsid w:val="3A5561B4"/>
    <w:rsid w:val="3A7626E1"/>
    <w:rsid w:val="3B013C08"/>
    <w:rsid w:val="3B0C04B2"/>
    <w:rsid w:val="3B760714"/>
    <w:rsid w:val="3C37275E"/>
    <w:rsid w:val="3CDC2212"/>
    <w:rsid w:val="3CE43EC9"/>
    <w:rsid w:val="3F6911DF"/>
    <w:rsid w:val="3F6C5C84"/>
    <w:rsid w:val="40102F66"/>
    <w:rsid w:val="41047025"/>
    <w:rsid w:val="45084B68"/>
    <w:rsid w:val="45653AD6"/>
    <w:rsid w:val="45762A71"/>
    <w:rsid w:val="45A90728"/>
    <w:rsid w:val="45B02BEF"/>
    <w:rsid w:val="47103AA0"/>
    <w:rsid w:val="48270AA7"/>
    <w:rsid w:val="486B1395"/>
    <w:rsid w:val="48C46390"/>
    <w:rsid w:val="492754E9"/>
    <w:rsid w:val="4A7219C1"/>
    <w:rsid w:val="4AA02A6C"/>
    <w:rsid w:val="4AFA4410"/>
    <w:rsid w:val="4B98203F"/>
    <w:rsid w:val="4CFA3959"/>
    <w:rsid w:val="4DE12859"/>
    <w:rsid w:val="4E24449A"/>
    <w:rsid w:val="4EC334D1"/>
    <w:rsid w:val="4F05311F"/>
    <w:rsid w:val="50154284"/>
    <w:rsid w:val="502D4B2F"/>
    <w:rsid w:val="508814C6"/>
    <w:rsid w:val="50B61D9B"/>
    <w:rsid w:val="50C71278"/>
    <w:rsid w:val="512751CA"/>
    <w:rsid w:val="51D67392"/>
    <w:rsid w:val="51EF3FAC"/>
    <w:rsid w:val="5459402A"/>
    <w:rsid w:val="553B68BE"/>
    <w:rsid w:val="56B33835"/>
    <w:rsid w:val="5831631B"/>
    <w:rsid w:val="59B90810"/>
    <w:rsid w:val="5BDD17F7"/>
    <w:rsid w:val="5D5808FA"/>
    <w:rsid w:val="5DD25532"/>
    <w:rsid w:val="5E2204A8"/>
    <w:rsid w:val="5F752248"/>
    <w:rsid w:val="5F76202B"/>
    <w:rsid w:val="5F822AC4"/>
    <w:rsid w:val="60390FC2"/>
    <w:rsid w:val="60C252B6"/>
    <w:rsid w:val="60C76CE7"/>
    <w:rsid w:val="60D15B8D"/>
    <w:rsid w:val="60E702A1"/>
    <w:rsid w:val="649F742C"/>
    <w:rsid w:val="656F68DF"/>
    <w:rsid w:val="6734690A"/>
    <w:rsid w:val="680253D2"/>
    <w:rsid w:val="69337971"/>
    <w:rsid w:val="693B28A6"/>
    <w:rsid w:val="69E869E9"/>
    <w:rsid w:val="6A681E15"/>
    <w:rsid w:val="6B2E317A"/>
    <w:rsid w:val="6C2C4E2F"/>
    <w:rsid w:val="6D36619A"/>
    <w:rsid w:val="6D9C7683"/>
    <w:rsid w:val="6E2F4F37"/>
    <w:rsid w:val="6E3D61A8"/>
    <w:rsid w:val="6FE316D3"/>
    <w:rsid w:val="7046358E"/>
    <w:rsid w:val="725E4BCB"/>
    <w:rsid w:val="738069D6"/>
    <w:rsid w:val="73837109"/>
    <w:rsid w:val="74196313"/>
    <w:rsid w:val="75132419"/>
    <w:rsid w:val="75355954"/>
    <w:rsid w:val="75566DE6"/>
    <w:rsid w:val="75832387"/>
    <w:rsid w:val="75AD0391"/>
    <w:rsid w:val="75CE27B8"/>
    <w:rsid w:val="75DB1235"/>
    <w:rsid w:val="764175A5"/>
    <w:rsid w:val="767318D4"/>
    <w:rsid w:val="76813DCD"/>
    <w:rsid w:val="76EA1B67"/>
    <w:rsid w:val="776B714F"/>
    <w:rsid w:val="77B31285"/>
    <w:rsid w:val="780105A2"/>
    <w:rsid w:val="780C5192"/>
    <w:rsid w:val="792B710B"/>
    <w:rsid w:val="794A009C"/>
    <w:rsid w:val="79595890"/>
    <w:rsid w:val="796041E8"/>
    <w:rsid w:val="7965322C"/>
    <w:rsid w:val="79B13681"/>
    <w:rsid w:val="79B53DAC"/>
    <w:rsid w:val="7A016F27"/>
    <w:rsid w:val="7A2716F4"/>
    <w:rsid w:val="7B2B2470"/>
    <w:rsid w:val="7B7E6275"/>
    <w:rsid w:val="7CB731DA"/>
    <w:rsid w:val="7D8B5D87"/>
    <w:rsid w:val="7DB64B7C"/>
    <w:rsid w:val="7DCC41BE"/>
    <w:rsid w:val="7DF93EAA"/>
    <w:rsid w:val="7E7073A1"/>
    <w:rsid w:val="7F960755"/>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qFormat="1" w:unhideWhenUsed="0"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qFormat="1" w:unhideWhenUsed="0" w:uiPriority="99" w:semiHidden="0" w:name="HTML Code"/>
    <w:lsdException w:qFormat="1" w:unhideWhenUsed="0" w:uiPriority="99" w:semiHidden="0" w:name="HTML Definition"/>
    <w:lsdException w:qFormat="1" w:unhideWhenUsed="0" w:uiPriority="99" w:semiHidden="0" w:name="HTML Keyboard"/>
    <w:lsdException w:uiPriority="99" w:name="HTML Preformatted"/>
    <w:lsdException w:qFormat="1" w:unhideWhenUsed="0" w:uiPriority="99" w:semiHidden="0"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18"/>
    <w:qFormat/>
    <w:uiPriority w:val="99"/>
    <w:pPr>
      <w:tabs>
        <w:tab w:val="center" w:pos="4153"/>
        <w:tab w:val="right" w:pos="8306"/>
      </w:tabs>
      <w:snapToGrid w:val="0"/>
      <w:jc w:val="left"/>
    </w:pPr>
    <w:rPr>
      <w:sz w:val="18"/>
      <w:szCs w:val="18"/>
    </w:rPr>
  </w:style>
  <w:style w:type="paragraph" w:styleId="3">
    <w:name w:val="Body Text"/>
    <w:basedOn w:val="1"/>
    <w:qFormat/>
    <w:uiPriority w:val="99"/>
    <w:pPr>
      <w:spacing w:after="120"/>
    </w:pPr>
  </w:style>
  <w:style w:type="paragraph" w:styleId="4">
    <w:name w:val="header"/>
    <w:basedOn w:val="1"/>
    <w:link w:val="19"/>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6">
    <w:name w:val="Body Text First Indent"/>
    <w:basedOn w:val="3"/>
    <w:qFormat/>
    <w:uiPriority w:val="99"/>
    <w:pPr>
      <w:spacing w:after="0"/>
    </w:pPr>
    <w:rPr>
      <w:szCs w:val="32"/>
    </w:rPr>
  </w:style>
  <w:style w:type="character" w:styleId="9">
    <w:name w:val="Strong"/>
    <w:basedOn w:val="8"/>
    <w:qFormat/>
    <w:uiPriority w:val="99"/>
    <w:rPr>
      <w:rFonts w:cs="Times New Roman"/>
      <w:b/>
    </w:rPr>
  </w:style>
  <w:style w:type="character" w:styleId="10">
    <w:name w:val="page number"/>
    <w:basedOn w:val="8"/>
    <w:qFormat/>
    <w:uiPriority w:val="99"/>
    <w:rPr>
      <w:rFonts w:cs="Times New Roman"/>
    </w:rPr>
  </w:style>
  <w:style w:type="character" w:styleId="11">
    <w:name w:val="FollowedHyperlink"/>
    <w:basedOn w:val="8"/>
    <w:qFormat/>
    <w:uiPriority w:val="99"/>
    <w:rPr>
      <w:rFonts w:cs="Times New Roman"/>
      <w:color w:val="333333"/>
      <w:u w:val="single"/>
    </w:rPr>
  </w:style>
  <w:style w:type="character" w:styleId="12">
    <w:name w:val="HTML Definition"/>
    <w:basedOn w:val="8"/>
    <w:qFormat/>
    <w:uiPriority w:val="99"/>
    <w:rPr>
      <w:rFonts w:cs="Times New Roman"/>
      <w:i/>
    </w:rPr>
  </w:style>
  <w:style w:type="character" w:styleId="13">
    <w:name w:val="HTML Acronym"/>
    <w:basedOn w:val="8"/>
    <w:qFormat/>
    <w:uiPriority w:val="99"/>
    <w:rPr>
      <w:rFonts w:cs="Times New Roman"/>
    </w:rPr>
  </w:style>
  <w:style w:type="character" w:styleId="14">
    <w:name w:val="Hyperlink"/>
    <w:basedOn w:val="8"/>
    <w:qFormat/>
    <w:uiPriority w:val="99"/>
    <w:rPr>
      <w:rFonts w:cs="Times New Roman"/>
      <w:color w:val="333333"/>
      <w:u w:val="single"/>
    </w:rPr>
  </w:style>
  <w:style w:type="character" w:styleId="15">
    <w:name w:val="HTML Code"/>
    <w:basedOn w:val="8"/>
    <w:qFormat/>
    <w:uiPriority w:val="99"/>
    <w:rPr>
      <w:rFonts w:ascii="monospace" w:hAnsi="monospace" w:eastAsia="Times New Roman" w:cs="monospace"/>
      <w:sz w:val="21"/>
      <w:szCs w:val="21"/>
    </w:rPr>
  </w:style>
  <w:style w:type="character" w:styleId="16">
    <w:name w:val="HTML Keyboard"/>
    <w:basedOn w:val="8"/>
    <w:qFormat/>
    <w:uiPriority w:val="99"/>
    <w:rPr>
      <w:rFonts w:ascii="monospace" w:hAnsi="monospace" w:eastAsia="Times New Roman" w:cs="monospace"/>
      <w:sz w:val="21"/>
      <w:szCs w:val="21"/>
    </w:rPr>
  </w:style>
  <w:style w:type="character" w:styleId="17">
    <w:name w:val="HTML Sample"/>
    <w:basedOn w:val="8"/>
    <w:qFormat/>
    <w:uiPriority w:val="99"/>
    <w:rPr>
      <w:rFonts w:ascii="monospace" w:hAnsi="monospace" w:eastAsia="Times New Roman" w:cs="monospace"/>
      <w:sz w:val="21"/>
      <w:szCs w:val="21"/>
    </w:rPr>
  </w:style>
  <w:style w:type="character" w:customStyle="1" w:styleId="18">
    <w:name w:val="页脚 Char"/>
    <w:basedOn w:val="8"/>
    <w:link w:val="2"/>
    <w:semiHidden/>
    <w:qFormat/>
    <w:uiPriority w:val="99"/>
    <w:rPr>
      <w:sz w:val="18"/>
      <w:szCs w:val="18"/>
    </w:rPr>
  </w:style>
  <w:style w:type="character" w:customStyle="1" w:styleId="19">
    <w:name w:val="页眉 Char"/>
    <w:basedOn w:val="8"/>
    <w:link w:val="4"/>
    <w:qFormat/>
    <w:locked/>
    <w:uiPriority w:val="99"/>
    <w:rPr>
      <w:rFonts w:cs="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微软公司</Company>
  <Pages>5</Pages>
  <Words>288</Words>
  <Characters>1645</Characters>
  <Lines>13</Lines>
  <Paragraphs>3</Paragraphs>
  <TotalTime>18</TotalTime>
  <ScaleCrop>false</ScaleCrop>
  <LinksUpToDate>false</LinksUpToDate>
  <CharactersWithSpaces>1930</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2020-09-11T00:58:00Z</dcterms:created>
  <dc:creator>豆豆妈</dc:creator>
  <cp:lastModifiedBy>豆豆妈</cp:lastModifiedBy>
  <dcterms:modified xsi:type="dcterms:W3CDTF">2020-09-11T01:49:50Z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