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1"/>
        <w:rPr>
          <w:rFonts w:hint="eastAsia" w:ascii="黑体" w:hAnsi="黑体" w:eastAsia="黑体" w:cs="黑体"/>
          <w:color w:val="auto"/>
          <w:lang w:val="en-US" w:eastAsia="zh-CN"/>
        </w:rPr>
      </w:pPr>
    </w:p>
    <w:p>
      <w:pPr>
        <w:adjustRightInd w:val="0"/>
        <w:snapToGrid w:val="0"/>
        <w:spacing w:line="660" w:lineRule="exact"/>
        <w:jc w:val="center"/>
        <w:outlineLvl w:val="1"/>
        <w:rPr>
          <w:rFonts w:ascii="Times New Roman" w:hAnsi="Times New Roman" w:eastAsia="楷体_GB2312" w:cs="Times New Roman"/>
          <w:snapToGrid w:val="0"/>
          <w:color w:val="auto"/>
          <w:kern w:val="0"/>
          <w:sz w:val="72"/>
          <w:szCs w:val="72"/>
        </w:rPr>
      </w:pPr>
    </w:p>
    <w:p>
      <w:pPr>
        <w:adjustRightInd w:val="0"/>
        <w:snapToGrid w:val="0"/>
        <w:spacing w:line="660" w:lineRule="exact"/>
        <w:jc w:val="center"/>
        <w:outlineLvl w:val="1"/>
        <w:rPr>
          <w:rFonts w:ascii="Times New Roman" w:hAnsi="Times New Roman" w:eastAsia="楷体_GB2312" w:cs="Times New Roman"/>
          <w:b w:val="0"/>
          <w:bCs w:val="0"/>
          <w:snapToGrid w:val="0"/>
          <w:color w:val="auto"/>
          <w:kern w:val="0"/>
          <w:sz w:val="72"/>
          <w:szCs w:val="72"/>
        </w:rPr>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1"/>
        <w:rPr>
          <w:rFonts w:hint="eastAsia" w:ascii="方正小标宋简体" w:hAnsi="方正小标宋简体" w:eastAsia="方正小标宋简体" w:cs="方正小标宋简体"/>
          <w:b w:val="0"/>
          <w:bCs w:val="0"/>
          <w:snapToGrid w:val="0"/>
          <w:color w:val="auto"/>
          <w:kern w:val="0"/>
          <w:sz w:val="52"/>
          <w:szCs w:val="52"/>
        </w:rPr>
      </w:pPr>
      <w:r>
        <w:rPr>
          <w:rFonts w:hint="eastAsia" w:ascii="方正小标宋简体" w:hAnsi="方正小标宋简体" w:eastAsia="方正小标宋简体" w:cs="方正小标宋简体"/>
          <w:b w:val="0"/>
          <w:bCs w:val="0"/>
          <w:snapToGrid w:val="0"/>
          <w:color w:val="auto"/>
          <w:kern w:val="0"/>
          <w:sz w:val="52"/>
          <w:szCs w:val="52"/>
        </w:rPr>
        <w:t>绩溪县国民经济和社会发展第十四个五年规划和</w:t>
      </w:r>
      <w:r>
        <w:rPr>
          <w:rFonts w:hint="eastAsia" w:ascii="方正小标宋简体" w:hAnsi="方正小标宋简体" w:eastAsia="方正小标宋简体" w:cs="方正小标宋简体"/>
          <w:b w:val="0"/>
          <w:bCs w:val="0"/>
          <w:snapToGrid w:val="0"/>
          <w:color w:val="auto"/>
          <w:kern w:val="0"/>
          <w:sz w:val="52"/>
          <w:szCs w:val="52"/>
          <w:lang w:val="en-US" w:eastAsia="zh-CN"/>
        </w:rPr>
        <w:t>2035</w:t>
      </w:r>
      <w:r>
        <w:rPr>
          <w:rFonts w:hint="eastAsia" w:ascii="方正小标宋简体" w:hAnsi="方正小标宋简体" w:eastAsia="方正小标宋简体" w:cs="方正小标宋简体"/>
          <w:b w:val="0"/>
          <w:bCs w:val="0"/>
          <w:snapToGrid w:val="0"/>
          <w:color w:val="auto"/>
          <w:kern w:val="0"/>
          <w:sz w:val="52"/>
          <w:szCs w:val="52"/>
        </w:rPr>
        <w:t>年远景目标纲要</w:t>
      </w:r>
    </w:p>
    <w:p>
      <w:pPr>
        <w:adjustRightInd w:val="0"/>
        <w:snapToGrid w:val="0"/>
        <w:spacing w:line="660" w:lineRule="exact"/>
        <w:jc w:val="center"/>
        <w:outlineLvl w:val="1"/>
        <w:rPr>
          <w:rFonts w:ascii="Times New Roman" w:hAnsi="Times New Roman" w:eastAsia="楷体_GB2312" w:cs="Times New Roman"/>
          <w:snapToGrid w:val="0"/>
          <w:color w:val="auto"/>
          <w:kern w:val="0"/>
          <w:sz w:val="36"/>
          <w:szCs w:val="32"/>
        </w:rPr>
      </w:pPr>
    </w:p>
    <w:p>
      <w:pPr>
        <w:pStyle w:val="2"/>
      </w:pPr>
    </w:p>
    <w:p>
      <w:pPr>
        <w:adjustRightInd w:val="0"/>
        <w:snapToGrid w:val="0"/>
        <w:spacing w:line="660" w:lineRule="exact"/>
        <w:jc w:val="center"/>
        <w:outlineLvl w:val="1"/>
        <w:rPr>
          <w:rFonts w:ascii="Times New Roman" w:hAnsi="Times New Roman" w:eastAsia="楷体_GB2312" w:cs="Times New Roman"/>
          <w:snapToGrid w:val="0"/>
          <w:color w:val="auto"/>
          <w:kern w:val="0"/>
          <w:sz w:val="36"/>
          <w:szCs w:val="32"/>
        </w:rPr>
      </w:pPr>
    </w:p>
    <w:p>
      <w:pPr>
        <w:spacing w:before="120"/>
        <w:jc w:val="center"/>
        <w:outlineLvl w:val="1"/>
        <w:rPr>
          <w:rFonts w:hint="eastAsia" w:ascii="方正小标宋简体" w:hAnsi="方正小标宋简体" w:eastAsia="方正小标宋简体" w:cs="方正小标宋简体"/>
          <w:b/>
          <w:bCs/>
          <w:color w:val="auto"/>
          <w:sz w:val="44"/>
          <w:szCs w:val="44"/>
        </w:rPr>
      </w:pPr>
    </w:p>
    <w:p>
      <w:pPr>
        <w:spacing w:before="120"/>
        <w:jc w:val="center"/>
        <w:outlineLvl w:val="1"/>
        <w:rPr>
          <w:rFonts w:hint="eastAsia" w:ascii="方正小标宋简体" w:hAnsi="方正小标宋简体" w:eastAsia="方正小标宋简体" w:cs="方正小标宋简体"/>
          <w:b/>
          <w:bCs/>
          <w:color w:val="auto"/>
          <w:sz w:val="44"/>
          <w:szCs w:val="44"/>
        </w:rPr>
      </w:pPr>
    </w:p>
    <w:p>
      <w:pPr>
        <w:spacing w:before="120"/>
        <w:jc w:val="center"/>
        <w:outlineLvl w:val="1"/>
        <w:rPr>
          <w:rFonts w:hint="eastAsia" w:ascii="方正小标宋简体" w:hAnsi="方正小标宋简体" w:eastAsia="方正小标宋简体" w:cs="方正小标宋简体"/>
          <w:b/>
          <w:bCs/>
          <w:color w:val="auto"/>
          <w:sz w:val="44"/>
          <w:szCs w:val="44"/>
        </w:rPr>
      </w:pPr>
    </w:p>
    <w:p>
      <w:pPr>
        <w:spacing w:before="120"/>
        <w:outlineLvl w:val="1"/>
        <w:rPr>
          <w:rFonts w:hint="eastAsia" w:ascii="方正小标宋简体" w:hAnsi="方正小标宋简体" w:eastAsia="方正小标宋简体" w:cs="方正小标宋简体"/>
          <w:b/>
          <w:bCs/>
          <w:color w:val="auto"/>
          <w:sz w:val="44"/>
          <w:szCs w:val="44"/>
        </w:rPr>
      </w:pPr>
    </w:p>
    <w:p>
      <w:pPr>
        <w:adjustRightInd w:val="0"/>
        <w:snapToGrid w:val="0"/>
        <w:spacing w:line="660" w:lineRule="exact"/>
        <w:jc w:val="center"/>
        <w:outlineLvl w:val="1"/>
        <w:rPr>
          <w:rFonts w:hint="eastAsia" w:ascii="楷体_GB2312" w:hAnsi="楷体_GB2312" w:eastAsia="楷体_GB2312" w:cs="楷体_GB2312"/>
          <w:b/>
          <w:bCs/>
          <w:snapToGrid w:val="0"/>
          <w:color w:val="auto"/>
          <w:kern w:val="0"/>
          <w:sz w:val="36"/>
          <w:szCs w:val="36"/>
          <w:lang w:val="en-US" w:eastAsia="zh-CN"/>
        </w:rPr>
      </w:pPr>
    </w:p>
    <w:p>
      <w:pPr>
        <w:adjustRightInd w:val="0"/>
        <w:snapToGrid w:val="0"/>
        <w:spacing w:line="660" w:lineRule="exact"/>
        <w:jc w:val="center"/>
        <w:outlineLvl w:val="1"/>
        <w:rPr>
          <w:rFonts w:hint="eastAsia" w:ascii="楷体_GB2312" w:hAnsi="楷体_GB2312" w:eastAsia="楷体_GB2312" w:cs="楷体_GB2312"/>
          <w:b/>
          <w:bCs/>
          <w:snapToGrid w:val="0"/>
          <w:color w:val="auto"/>
          <w:kern w:val="0"/>
          <w:sz w:val="36"/>
          <w:szCs w:val="36"/>
        </w:rPr>
      </w:pPr>
      <w:r>
        <w:rPr>
          <w:rFonts w:hint="eastAsia" w:ascii="楷体_GB2312" w:hAnsi="楷体_GB2312" w:eastAsia="楷体_GB2312" w:cs="楷体_GB2312"/>
          <w:b/>
          <w:bCs/>
          <w:snapToGrid w:val="0"/>
          <w:color w:val="auto"/>
          <w:kern w:val="0"/>
          <w:sz w:val="36"/>
          <w:szCs w:val="36"/>
          <w:lang w:val="en-US" w:eastAsia="zh-CN"/>
        </w:rPr>
        <w:t>2021</w:t>
      </w:r>
      <w:r>
        <w:rPr>
          <w:rFonts w:hint="eastAsia" w:ascii="楷体_GB2312" w:hAnsi="楷体_GB2312" w:eastAsia="楷体_GB2312" w:cs="楷体_GB2312"/>
          <w:b/>
          <w:bCs/>
          <w:snapToGrid w:val="0"/>
          <w:color w:val="auto"/>
          <w:kern w:val="0"/>
          <w:sz w:val="36"/>
          <w:szCs w:val="36"/>
        </w:rPr>
        <w:t>年</w:t>
      </w:r>
      <w:r>
        <w:rPr>
          <w:rFonts w:hint="eastAsia" w:ascii="楷体_GB2312" w:hAnsi="楷体_GB2312" w:eastAsia="楷体_GB2312" w:cs="楷体_GB2312"/>
          <w:b/>
          <w:bCs/>
          <w:snapToGrid w:val="0"/>
          <w:color w:val="auto"/>
          <w:kern w:val="0"/>
          <w:sz w:val="36"/>
          <w:szCs w:val="36"/>
          <w:lang w:val="en-US" w:eastAsia="zh-CN"/>
        </w:rPr>
        <w:t>5</w:t>
      </w:r>
      <w:r>
        <w:rPr>
          <w:rFonts w:hint="eastAsia" w:ascii="楷体_GB2312" w:hAnsi="楷体_GB2312" w:eastAsia="楷体_GB2312" w:cs="楷体_GB2312"/>
          <w:b/>
          <w:bCs/>
          <w:snapToGrid w:val="0"/>
          <w:color w:val="auto"/>
          <w:kern w:val="0"/>
          <w:sz w:val="36"/>
          <w:szCs w:val="36"/>
        </w:rPr>
        <w:t>月</w:t>
      </w:r>
    </w:p>
    <w:p>
      <w:pPr>
        <w:pStyle w:val="2"/>
        <w:rPr>
          <w:rFonts w:hint="eastAsia" w:ascii="楷体_GB2312" w:hAnsi="楷体_GB2312" w:eastAsia="楷体_GB2312" w:cs="楷体_GB2312"/>
          <w:b/>
          <w:bCs/>
          <w:snapToGrid w:val="0"/>
          <w:color w:val="auto"/>
          <w:kern w:val="0"/>
          <w:sz w:val="36"/>
          <w:szCs w:val="36"/>
        </w:rPr>
      </w:pPr>
    </w:p>
    <w:p>
      <w:pPr>
        <w:pStyle w:val="2"/>
        <w:rPr>
          <w:rFonts w:hint="default" w:ascii="楷体_GB2312" w:hAnsi="楷体_GB2312" w:eastAsia="楷体_GB2312" w:cs="楷体_GB2312"/>
          <w:b/>
          <w:bCs/>
          <w:snapToGrid w:val="0"/>
          <w:color w:val="auto"/>
          <w:kern w:val="0"/>
          <w:sz w:val="36"/>
          <w:szCs w:val="36"/>
          <w:lang w:val="en-US" w:eastAsia="zh-CN"/>
        </w:rPr>
      </w:pPr>
    </w:p>
    <w:p>
      <w:pPr>
        <w:pStyle w:val="2"/>
        <w:rPr>
          <w:rFonts w:hint="eastAsia"/>
        </w:rPr>
      </w:pPr>
    </w:p>
    <w:sdt>
      <w:sdtPr>
        <w:rPr>
          <w:rFonts w:ascii="宋体" w:hAnsi="宋体" w:eastAsia="宋体" w:cstheme="minorBidi"/>
          <w:kern w:val="2"/>
          <w:sz w:val="21"/>
          <w:szCs w:val="22"/>
          <w:lang w:val="en-US" w:eastAsia="zh-CN" w:bidi="ar-SA"/>
        </w:rPr>
        <w:id w:val="147459242"/>
        <w:docPartObj>
          <w:docPartGallery w:val="Table of Contents"/>
          <w:docPartUnique/>
        </w:docPartObj>
      </w:sdtPr>
      <w:sdtEndPr>
        <w:rPr>
          <w:rFonts w:ascii="Times New Roman" w:hAnsi="Times New Roman" w:eastAsia="宋体" w:cs="Times New Roman"/>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40"/>
              <w:szCs w:val="40"/>
            </w:rPr>
          </w:pPr>
          <w:bookmarkStart w:id="0" w:name="_Toc26097_WPSOffice_Type2"/>
          <w:r>
            <w:rPr>
              <w:rFonts w:ascii="宋体" w:hAnsi="宋体" w:eastAsia="宋体"/>
              <w:b/>
              <w:bCs/>
              <w:sz w:val="40"/>
              <w:szCs w:val="40"/>
            </w:rPr>
            <w:t>目</w:t>
          </w:r>
          <w:r>
            <w:rPr>
              <w:rFonts w:hint="eastAsia" w:ascii="宋体" w:hAnsi="宋体" w:eastAsia="宋体"/>
              <w:b/>
              <w:bCs/>
              <w:sz w:val="40"/>
              <w:szCs w:val="40"/>
              <w:lang w:val="en-US" w:eastAsia="zh-CN"/>
            </w:rPr>
            <w:t xml:space="preserve">  </w:t>
          </w:r>
          <w:r>
            <w:rPr>
              <w:rFonts w:ascii="宋体" w:hAnsi="宋体" w:eastAsia="宋体"/>
              <w:b/>
              <w:bCs/>
              <w:sz w:val="40"/>
              <w:szCs w:val="40"/>
            </w:rPr>
            <w:t>录</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textAlignment w:val="auto"/>
            <w:outlineLvl w:val="9"/>
          </w:pPr>
        </w:p>
        <w:p>
          <w:pPr>
            <w:pStyle w:val="35"/>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b/>
              <w:bCs/>
              <w:sz w:val="24"/>
              <w:szCs w:val="24"/>
            </w:rPr>
            <w:fldChar w:fldCharType="begin"/>
          </w:r>
          <w:r>
            <w:rPr>
              <w:sz w:val="24"/>
              <w:szCs w:val="24"/>
            </w:rPr>
            <w:instrText xml:space="preserve"> HYPERLINK \l _Toc11086_WPSOffice_Level1 </w:instrText>
          </w:r>
          <w:r>
            <w:rPr>
              <w:b/>
              <w:bCs/>
              <w:sz w:val="24"/>
              <w:szCs w:val="24"/>
            </w:rPr>
            <w:fldChar w:fldCharType="separate"/>
          </w:r>
          <w:sdt>
            <w:sdtPr>
              <w:rPr>
                <w:rFonts w:asciiTheme="minorHAnsi" w:hAnsiTheme="minorHAnsi" w:eastAsiaTheme="minorEastAsia" w:cstheme="minorBidi"/>
                <w:b/>
                <w:bCs/>
                <w:kern w:val="2"/>
                <w:sz w:val="24"/>
                <w:szCs w:val="24"/>
                <w:lang w:val="en-US" w:eastAsia="zh-CN" w:bidi="ar-SA"/>
              </w:rPr>
              <w:id w:val="147459242"/>
              <w:placeholder>
                <w:docPart w:val="{483be14c-cd9c-4a42-913d-589ad3473287}"/>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第一章  全面建成小康社会，开启</w:t>
              </w:r>
              <w:r>
                <w:rPr>
                  <w:rFonts w:hint="eastAsia" w:ascii="方正小标宋简体" w:hAnsi="方正小标宋简体" w:eastAsia="方正小标宋简体" w:cs="方正小标宋简体"/>
                  <w:b/>
                  <w:bCs/>
                  <w:sz w:val="24"/>
                  <w:szCs w:val="24"/>
                  <w:lang w:eastAsia="zh-CN"/>
                </w:rPr>
                <w:t>新时代</w:t>
              </w:r>
            </w:sdtContent>
          </w:sdt>
          <w:sdt>
            <w:sdtPr>
              <w:rPr>
                <w:rFonts w:asciiTheme="minorHAnsi" w:hAnsiTheme="minorHAnsi" w:eastAsiaTheme="minorEastAsia" w:cstheme="minorBidi"/>
                <w:b/>
                <w:bCs/>
                <w:kern w:val="2"/>
                <w:sz w:val="24"/>
                <w:szCs w:val="24"/>
                <w:lang w:val="en-US" w:eastAsia="zh-CN" w:bidi="ar-SA"/>
              </w:rPr>
              <w:id w:val="147459242"/>
              <w:placeholder>
                <w:docPart w:val="{08569af0-9167-427c-b236-6ccb5ef80697}"/>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美丽幸福绩溪建设新征程</w:t>
              </w:r>
            </w:sdtContent>
          </w:sdt>
          <w:r>
            <w:rPr>
              <w:b/>
              <w:bCs/>
              <w:sz w:val="24"/>
              <w:szCs w:val="24"/>
            </w:rPr>
            <w:tab/>
          </w:r>
          <w:bookmarkStart w:id="1" w:name="_Toc11086_WPSOffice_Level1Page"/>
          <w:r>
            <w:rPr>
              <w:b/>
              <w:bCs/>
              <w:sz w:val="24"/>
              <w:szCs w:val="24"/>
            </w:rPr>
            <w:t>1</w:t>
          </w:r>
          <w:bookmarkEnd w:id="1"/>
          <w:r>
            <w:rPr>
              <w:b/>
              <w:bCs/>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_Toc9137_WPSOffice_Level2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30f0b378-5f60-4c51-a98a-e752d89ecb80}"/>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第一节　发展基础</w:t>
              </w:r>
            </w:sdtContent>
          </w:sdt>
          <w:r>
            <w:rPr>
              <w:sz w:val="24"/>
              <w:szCs w:val="24"/>
            </w:rPr>
            <w:tab/>
          </w:r>
          <w:bookmarkStart w:id="2" w:name="_Toc9137_WPSOffice_Level2Page"/>
          <w:r>
            <w:rPr>
              <w:sz w:val="24"/>
              <w:szCs w:val="24"/>
            </w:rPr>
            <w:t>1</w:t>
          </w:r>
          <w:bookmarkEnd w:id="2"/>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_Toc5800_WPSOffice_Level2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41a8858b-7ff1-4e7f-a644-05f44cd93f9b}"/>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第二节  机遇挑战</w:t>
              </w:r>
            </w:sdtContent>
          </w:sdt>
          <w:r>
            <w:rPr>
              <w:sz w:val="24"/>
              <w:szCs w:val="24"/>
            </w:rPr>
            <w:tab/>
          </w:r>
          <w:bookmarkStart w:id="3" w:name="_Toc5800_WPSOffice_Level2Page"/>
          <w:r>
            <w:rPr>
              <w:sz w:val="24"/>
              <w:szCs w:val="24"/>
            </w:rPr>
            <w:t>5</w:t>
          </w:r>
          <w:bookmarkEnd w:id="3"/>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_Toc5715_WPSOffice_Level2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2f95d3ce-45eb-400c-ba33-9c7dad494123}"/>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第三节  指导思想</w:t>
              </w:r>
            </w:sdtContent>
          </w:sdt>
          <w:r>
            <w:rPr>
              <w:sz w:val="24"/>
              <w:szCs w:val="24"/>
            </w:rPr>
            <w:tab/>
          </w:r>
          <w:bookmarkStart w:id="4" w:name="_Toc5715_WPSOffice_Level2Page"/>
          <w:r>
            <w:rPr>
              <w:sz w:val="24"/>
              <w:szCs w:val="24"/>
            </w:rPr>
            <w:t>7</w:t>
          </w:r>
          <w:bookmarkEnd w:id="4"/>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_Toc13843_WPSOffice_Level2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ff0a790a-df16-4263-8816-c12385806b77}"/>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第四节  主要目标</w:t>
              </w:r>
            </w:sdtContent>
          </w:sdt>
          <w:r>
            <w:rPr>
              <w:sz w:val="24"/>
              <w:szCs w:val="24"/>
            </w:rPr>
            <w:tab/>
          </w:r>
          <w:bookmarkStart w:id="5" w:name="_Toc13843_WPSOffice_Level2Page"/>
          <w:r>
            <w:rPr>
              <w:sz w:val="24"/>
              <w:szCs w:val="24"/>
            </w:rPr>
            <w:t>11</w:t>
          </w:r>
          <w:bookmarkEnd w:id="5"/>
          <w:r>
            <w:rPr>
              <w:sz w:val="24"/>
              <w:szCs w:val="24"/>
            </w:rPr>
            <w:fldChar w:fldCharType="end"/>
          </w:r>
        </w:p>
        <w:p>
          <w:pPr>
            <w:pStyle w:val="35"/>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b/>
              <w:bCs/>
              <w:sz w:val="24"/>
              <w:szCs w:val="24"/>
            </w:rPr>
            <w:fldChar w:fldCharType="begin"/>
          </w:r>
          <w:r>
            <w:rPr>
              <w:sz w:val="24"/>
              <w:szCs w:val="24"/>
            </w:rPr>
            <w:instrText xml:space="preserve"> HYPERLINK \l _Toc26097_WPSOffice_Level1 </w:instrText>
          </w:r>
          <w:r>
            <w:rPr>
              <w:b/>
              <w:bCs/>
              <w:sz w:val="24"/>
              <w:szCs w:val="24"/>
            </w:rPr>
            <w:fldChar w:fldCharType="separate"/>
          </w:r>
          <w:sdt>
            <w:sdtPr>
              <w:rPr>
                <w:rFonts w:asciiTheme="minorHAnsi" w:hAnsiTheme="minorHAnsi" w:eastAsiaTheme="minorEastAsia" w:cstheme="minorBidi"/>
                <w:b/>
                <w:bCs/>
                <w:kern w:val="2"/>
                <w:sz w:val="24"/>
                <w:szCs w:val="24"/>
                <w:lang w:val="en-US" w:eastAsia="zh-CN" w:bidi="ar-SA"/>
              </w:rPr>
              <w:id w:val="147459242"/>
              <w:placeholder>
                <w:docPart w:val="{93491f24-e118-4568-8e89-4b2ad309dba8}"/>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第二章  聚力发展实体经济 构建</w:t>
              </w:r>
              <w:sdt>
                <w:sdtPr>
                  <w:rPr>
                    <w:rFonts w:asciiTheme="minorHAnsi" w:hAnsiTheme="minorHAnsi" w:eastAsiaTheme="minorEastAsia" w:cstheme="minorBidi"/>
                    <w:b/>
                    <w:bCs/>
                    <w:kern w:val="2"/>
                    <w:sz w:val="24"/>
                    <w:szCs w:val="24"/>
                    <w:lang w:val="en-US" w:eastAsia="zh-CN" w:bidi="ar-SA"/>
                  </w:rPr>
                  <w:id w:val="147459242"/>
                  <w:placeholder>
                    <w:docPart w:val="{0b59e297-8ab4-4ea6-bf68-e3b9f591b5df}"/>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县域现代化产业体系</w:t>
                  </w:r>
                </w:sdtContent>
              </w:sdt>
            </w:sdtContent>
          </w:sdt>
          <w:r>
            <w:rPr>
              <w:b/>
              <w:bCs/>
              <w:sz w:val="24"/>
              <w:szCs w:val="24"/>
            </w:rPr>
            <w:tab/>
          </w:r>
          <w:bookmarkStart w:id="6" w:name="_Toc26097_WPSOffice_Level1Page"/>
          <w:r>
            <w:rPr>
              <w:b/>
              <w:bCs/>
              <w:sz w:val="24"/>
              <w:szCs w:val="24"/>
            </w:rPr>
            <w:t>16</w:t>
          </w:r>
          <w:bookmarkEnd w:id="6"/>
          <w:r>
            <w:rPr>
              <w:b/>
              <w:bCs/>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_Toc19573_WPSOffice_Level2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6f63f99f-afdb-437f-83a1-39573e37b0a6}"/>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第一节  提升产业链供应链稳定性和现代化水平</w:t>
              </w:r>
            </w:sdtContent>
          </w:sdt>
          <w:r>
            <w:rPr>
              <w:sz w:val="24"/>
              <w:szCs w:val="24"/>
            </w:rPr>
            <w:tab/>
          </w:r>
          <w:bookmarkStart w:id="7" w:name="_Toc19573_WPSOffice_Level2Page"/>
          <w:r>
            <w:rPr>
              <w:sz w:val="24"/>
              <w:szCs w:val="24"/>
            </w:rPr>
            <w:t>16</w:t>
          </w:r>
          <w:bookmarkEnd w:id="7"/>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_Toc8421_WPSOffice_Level2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20095e6e-bc3a-42c7-a99a-ddb545520c15}"/>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第二节  推动制造业向中高端迈进</w:t>
              </w:r>
            </w:sdtContent>
          </w:sdt>
          <w:r>
            <w:rPr>
              <w:sz w:val="24"/>
              <w:szCs w:val="24"/>
            </w:rPr>
            <w:tab/>
          </w:r>
          <w:bookmarkStart w:id="8" w:name="_Toc8421_WPSOffice_Level2Page"/>
          <w:r>
            <w:rPr>
              <w:sz w:val="24"/>
              <w:szCs w:val="24"/>
            </w:rPr>
            <w:t>17</w:t>
          </w:r>
          <w:bookmarkEnd w:id="8"/>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_Toc3248_WPSOffice_Level2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a0d82502-8485-46cf-a78a-2068bdea8576}"/>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第三节  高质量发展文化旅游业</w:t>
              </w:r>
            </w:sdtContent>
          </w:sdt>
          <w:r>
            <w:rPr>
              <w:sz w:val="24"/>
              <w:szCs w:val="24"/>
            </w:rPr>
            <w:tab/>
          </w:r>
          <w:bookmarkStart w:id="9" w:name="_Toc3248_WPSOffice_Level2Page"/>
          <w:r>
            <w:rPr>
              <w:sz w:val="24"/>
              <w:szCs w:val="24"/>
            </w:rPr>
            <w:t>20</w:t>
          </w:r>
          <w:bookmarkEnd w:id="9"/>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_Toc27565_WPSOffice_Level2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1571a145-5e74-4189-9719-fcf9f27a27c1}"/>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第四节  培育壮大数字经济产业</w:t>
              </w:r>
            </w:sdtContent>
          </w:sdt>
          <w:r>
            <w:rPr>
              <w:sz w:val="24"/>
              <w:szCs w:val="24"/>
            </w:rPr>
            <w:tab/>
          </w:r>
          <w:bookmarkStart w:id="10" w:name="_Toc27565_WPSOffice_Level2Page"/>
          <w:r>
            <w:rPr>
              <w:sz w:val="24"/>
              <w:szCs w:val="24"/>
            </w:rPr>
            <w:t>24</w:t>
          </w:r>
          <w:bookmarkEnd w:id="10"/>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_Toc3726_WPSOffice_Level2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8daacd63-1adf-4ed3-84de-5f8d7bcd5b73}"/>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第五节  集聚发展现代服务业</w:t>
              </w:r>
            </w:sdtContent>
          </w:sdt>
          <w:r>
            <w:rPr>
              <w:sz w:val="24"/>
              <w:szCs w:val="24"/>
            </w:rPr>
            <w:tab/>
          </w:r>
          <w:bookmarkStart w:id="11" w:name="_Toc3726_WPSOffice_Level2Page"/>
          <w:r>
            <w:rPr>
              <w:sz w:val="24"/>
              <w:szCs w:val="24"/>
            </w:rPr>
            <w:t>25</w:t>
          </w:r>
          <w:bookmarkEnd w:id="11"/>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_Toc12687_WPSOffice_Level2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a833871a-bde5-407c-ba0e-af216c92538f}"/>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第六节  全面推进经济开发区转型升级</w:t>
              </w:r>
            </w:sdtContent>
          </w:sdt>
          <w:r>
            <w:rPr>
              <w:sz w:val="24"/>
              <w:szCs w:val="24"/>
            </w:rPr>
            <w:tab/>
          </w:r>
          <w:bookmarkStart w:id="12" w:name="_Toc12687_WPSOffice_Level2Page"/>
          <w:r>
            <w:rPr>
              <w:sz w:val="24"/>
              <w:szCs w:val="24"/>
            </w:rPr>
            <w:t>27</w:t>
          </w:r>
          <w:bookmarkEnd w:id="12"/>
          <w:r>
            <w:rPr>
              <w:sz w:val="24"/>
              <w:szCs w:val="24"/>
            </w:rPr>
            <w:fldChar w:fldCharType="end"/>
          </w:r>
        </w:p>
        <w:p>
          <w:pPr>
            <w:pStyle w:val="35"/>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b/>
              <w:bCs/>
              <w:sz w:val="24"/>
              <w:szCs w:val="24"/>
            </w:rPr>
            <w:fldChar w:fldCharType="begin"/>
          </w:r>
          <w:r>
            <w:rPr>
              <w:sz w:val="24"/>
              <w:szCs w:val="24"/>
            </w:rPr>
            <w:instrText xml:space="preserve"> HYPERLINK \l _Toc9137_WPSOffice_Level1 </w:instrText>
          </w:r>
          <w:r>
            <w:rPr>
              <w:b/>
              <w:bCs/>
              <w:sz w:val="24"/>
              <w:szCs w:val="24"/>
            </w:rPr>
            <w:fldChar w:fldCharType="separate"/>
          </w:r>
          <w:sdt>
            <w:sdtPr>
              <w:rPr>
                <w:rFonts w:asciiTheme="minorHAnsi" w:hAnsiTheme="minorHAnsi" w:eastAsiaTheme="minorEastAsia" w:cstheme="minorBidi"/>
                <w:b/>
                <w:bCs/>
                <w:kern w:val="2"/>
                <w:sz w:val="24"/>
                <w:szCs w:val="24"/>
                <w:lang w:val="en-US" w:eastAsia="zh-CN" w:bidi="ar-SA"/>
              </w:rPr>
              <w:id w:val="147459242"/>
              <w:placeholder>
                <w:docPart w:val="{25136095-6f50-4b2b-b87a-3129f0746cee}"/>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第三章  坚持创新引领 塑造发展新优势</w:t>
              </w:r>
            </w:sdtContent>
          </w:sdt>
          <w:r>
            <w:rPr>
              <w:b/>
              <w:bCs/>
              <w:sz w:val="24"/>
              <w:szCs w:val="24"/>
            </w:rPr>
            <w:tab/>
          </w:r>
          <w:bookmarkStart w:id="13" w:name="_Toc9137_WPSOffice_Level1Page"/>
          <w:r>
            <w:rPr>
              <w:b/>
              <w:bCs/>
              <w:sz w:val="24"/>
              <w:szCs w:val="24"/>
            </w:rPr>
            <w:t>28</w:t>
          </w:r>
          <w:bookmarkEnd w:id="13"/>
          <w:r>
            <w:rPr>
              <w:b/>
              <w:bCs/>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_Toc1039_WPSOffice_Level2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be041c0b-d8f7-43d8-be0d-df1c4182993d}"/>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第一节  强化企业创新主体地位</w:t>
              </w:r>
            </w:sdtContent>
          </w:sdt>
          <w:r>
            <w:rPr>
              <w:sz w:val="24"/>
              <w:szCs w:val="24"/>
            </w:rPr>
            <w:tab/>
          </w:r>
          <w:bookmarkStart w:id="14" w:name="_Toc1039_WPSOffice_Level2Page"/>
          <w:r>
            <w:rPr>
              <w:sz w:val="24"/>
              <w:szCs w:val="24"/>
            </w:rPr>
            <w:t>28</w:t>
          </w:r>
          <w:bookmarkEnd w:id="14"/>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_Toc32441_WPSOffice_Level2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79c47a79-4a6d-4880-9089-bbc2fc9cc6df}"/>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第二节  促进科技成果转化</w:t>
              </w:r>
            </w:sdtContent>
          </w:sdt>
          <w:r>
            <w:rPr>
              <w:sz w:val="24"/>
              <w:szCs w:val="24"/>
            </w:rPr>
            <w:tab/>
          </w:r>
          <w:bookmarkStart w:id="15" w:name="_Toc32441_WPSOffice_Level2Page"/>
          <w:r>
            <w:rPr>
              <w:sz w:val="24"/>
              <w:szCs w:val="24"/>
            </w:rPr>
            <w:t>29</w:t>
          </w:r>
          <w:bookmarkEnd w:id="15"/>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_Toc2601_WPSOffice_Level2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b8aa2a9d-4a60-4db5-8ebb-5fd050369571}"/>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第三节  加快集聚创新人才</w:t>
              </w:r>
            </w:sdtContent>
          </w:sdt>
          <w:r>
            <w:rPr>
              <w:sz w:val="24"/>
              <w:szCs w:val="24"/>
            </w:rPr>
            <w:tab/>
          </w:r>
          <w:bookmarkStart w:id="16" w:name="_Toc2601_WPSOffice_Level2Page"/>
          <w:r>
            <w:rPr>
              <w:sz w:val="24"/>
              <w:szCs w:val="24"/>
            </w:rPr>
            <w:t>30</w:t>
          </w:r>
          <w:bookmarkEnd w:id="16"/>
          <w:r>
            <w:rPr>
              <w:sz w:val="24"/>
              <w:szCs w:val="24"/>
            </w:rPr>
            <w:fldChar w:fldCharType="end"/>
          </w:r>
        </w:p>
        <w:p>
          <w:pPr>
            <w:pStyle w:val="35"/>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b/>
              <w:bCs/>
              <w:sz w:val="24"/>
              <w:szCs w:val="24"/>
            </w:rPr>
            <w:fldChar w:fldCharType="begin"/>
          </w:r>
          <w:r>
            <w:rPr>
              <w:sz w:val="24"/>
              <w:szCs w:val="24"/>
            </w:rPr>
            <w:instrText xml:space="preserve"> HYPERLINK \l _Toc5800_WPSOffice_Level1 </w:instrText>
          </w:r>
          <w:r>
            <w:rPr>
              <w:b/>
              <w:bCs/>
              <w:sz w:val="24"/>
              <w:szCs w:val="24"/>
            </w:rPr>
            <w:fldChar w:fldCharType="separate"/>
          </w:r>
          <w:sdt>
            <w:sdtPr>
              <w:rPr>
                <w:rFonts w:asciiTheme="minorHAnsi" w:hAnsiTheme="minorHAnsi" w:eastAsiaTheme="minorEastAsia" w:cstheme="minorBidi"/>
                <w:b/>
                <w:bCs/>
                <w:kern w:val="2"/>
                <w:sz w:val="24"/>
                <w:szCs w:val="24"/>
                <w:lang w:val="en-US" w:eastAsia="zh-CN" w:bidi="ar-SA"/>
              </w:rPr>
              <w:id w:val="147459242"/>
              <w:placeholder>
                <w:docPart w:val="{1b13e6d3-ad68-4313-bc23-6c390f5eb376}"/>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第四章  推深做实“五百工程” 全力</w:t>
              </w:r>
              <w:sdt>
                <w:sdtPr>
                  <w:rPr>
                    <w:rFonts w:asciiTheme="minorHAnsi" w:hAnsiTheme="minorHAnsi" w:eastAsiaTheme="minorEastAsia" w:cstheme="minorBidi"/>
                    <w:b/>
                    <w:bCs/>
                    <w:kern w:val="2"/>
                    <w:sz w:val="24"/>
                    <w:szCs w:val="24"/>
                    <w:lang w:val="en-US" w:eastAsia="zh-CN" w:bidi="ar-SA"/>
                  </w:rPr>
                  <w:id w:val="147459242"/>
                  <w:placeholder>
                    <w:docPart w:val="{368849c6-82fe-4548-ac04-d97e42f9b8f2}"/>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促进乡村振兴</w:t>
                  </w:r>
                </w:sdtContent>
              </w:sdt>
            </w:sdtContent>
          </w:sdt>
          <w:r>
            <w:rPr>
              <w:b/>
              <w:bCs/>
              <w:sz w:val="24"/>
              <w:szCs w:val="24"/>
            </w:rPr>
            <w:tab/>
          </w:r>
          <w:bookmarkStart w:id="17" w:name="_Toc5800_WPSOffice_Level1Page"/>
          <w:r>
            <w:rPr>
              <w:b/>
              <w:bCs/>
              <w:sz w:val="24"/>
              <w:szCs w:val="24"/>
            </w:rPr>
            <w:t>30</w:t>
          </w:r>
          <w:bookmarkEnd w:id="17"/>
          <w:r>
            <w:rPr>
              <w:b/>
              <w:bCs/>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_Toc30891_WPSOffice_Level2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8efcbaa2-f73f-4c62-99ee-95e0e76d5ac8}"/>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第一节  发展优质高效特色农业</w:t>
              </w:r>
            </w:sdtContent>
          </w:sdt>
          <w:r>
            <w:rPr>
              <w:sz w:val="24"/>
              <w:szCs w:val="24"/>
            </w:rPr>
            <w:tab/>
          </w:r>
          <w:bookmarkStart w:id="18" w:name="_Toc30891_WPSOffice_Level2Page"/>
          <w:r>
            <w:rPr>
              <w:sz w:val="24"/>
              <w:szCs w:val="24"/>
            </w:rPr>
            <w:t>30</w:t>
          </w:r>
          <w:bookmarkEnd w:id="18"/>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_Toc23685_WPSOffice_Level2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2e4bbfcc-cb98-40a4-b356-f8351702f55f}"/>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第二节  实施新时代乡村建设行动</w:t>
              </w:r>
            </w:sdtContent>
          </w:sdt>
          <w:r>
            <w:rPr>
              <w:sz w:val="24"/>
              <w:szCs w:val="24"/>
            </w:rPr>
            <w:tab/>
          </w:r>
          <w:bookmarkStart w:id="19" w:name="_Toc23685_WPSOffice_Level2Page"/>
          <w:r>
            <w:rPr>
              <w:sz w:val="24"/>
              <w:szCs w:val="24"/>
            </w:rPr>
            <w:t>33</w:t>
          </w:r>
          <w:bookmarkEnd w:id="19"/>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_Toc29219_WPSOffice_Level2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2b982f92-9576-49f6-80f1-c1af21d6c39d}"/>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第三节  全面深化农村改革</w:t>
              </w:r>
            </w:sdtContent>
          </w:sdt>
          <w:r>
            <w:rPr>
              <w:sz w:val="24"/>
              <w:szCs w:val="24"/>
            </w:rPr>
            <w:tab/>
          </w:r>
          <w:bookmarkStart w:id="20" w:name="_Toc29219_WPSOffice_Level2Page"/>
          <w:r>
            <w:rPr>
              <w:sz w:val="24"/>
              <w:szCs w:val="24"/>
            </w:rPr>
            <w:t>35</w:t>
          </w:r>
          <w:bookmarkEnd w:id="20"/>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_Toc26357_WPSOffice_Level2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bebf6f50-1467-4fea-8b21-5b60c419b63d}"/>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第四节  实现巩固脱贫攻坚成果同乡村振兴有效衔接</w:t>
              </w:r>
            </w:sdtContent>
          </w:sdt>
          <w:r>
            <w:rPr>
              <w:sz w:val="24"/>
              <w:szCs w:val="24"/>
            </w:rPr>
            <w:tab/>
          </w:r>
          <w:bookmarkStart w:id="21" w:name="_Toc26357_WPSOffice_Level2Page"/>
          <w:r>
            <w:rPr>
              <w:sz w:val="24"/>
              <w:szCs w:val="24"/>
            </w:rPr>
            <w:t>35</w:t>
          </w:r>
          <w:bookmarkEnd w:id="21"/>
          <w:r>
            <w:rPr>
              <w:sz w:val="24"/>
              <w:szCs w:val="24"/>
            </w:rPr>
            <w:fldChar w:fldCharType="end"/>
          </w:r>
        </w:p>
        <w:p>
          <w:pPr>
            <w:pStyle w:val="35"/>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b/>
              <w:bCs/>
              <w:sz w:val="24"/>
              <w:szCs w:val="24"/>
            </w:rPr>
            <w:fldChar w:fldCharType="begin"/>
          </w:r>
          <w:r>
            <w:rPr>
              <w:sz w:val="24"/>
              <w:szCs w:val="24"/>
            </w:rPr>
            <w:instrText xml:space="preserve"> HYPERLINK \l _Toc5715_WPSOffice_Level1 </w:instrText>
          </w:r>
          <w:r>
            <w:rPr>
              <w:b/>
              <w:bCs/>
              <w:sz w:val="24"/>
              <w:szCs w:val="24"/>
            </w:rPr>
            <w:fldChar w:fldCharType="separate"/>
          </w:r>
          <w:sdt>
            <w:sdtPr>
              <w:rPr>
                <w:rFonts w:asciiTheme="minorHAnsi" w:hAnsiTheme="minorHAnsi" w:eastAsiaTheme="minorEastAsia" w:cstheme="minorBidi"/>
                <w:b/>
                <w:bCs/>
                <w:kern w:val="2"/>
                <w:sz w:val="24"/>
                <w:szCs w:val="24"/>
                <w:lang w:val="en-US" w:eastAsia="zh-CN" w:bidi="ar-SA"/>
              </w:rPr>
              <w:id w:val="147459242"/>
              <w:placeholder>
                <w:docPart w:val="{3da80ff4-1e39-4a89-8a49-8b7c8c87f842}"/>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第五章  推进以人为核心的新型城镇化 加快</w:t>
              </w:r>
              <w:sdt>
                <w:sdtPr>
                  <w:rPr>
                    <w:rFonts w:asciiTheme="minorHAnsi" w:hAnsiTheme="minorHAnsi" w:eastAsiaTheme="minorEastAsia" w:cstheme="minorBidi"/>
                    <w:b/>
                    <w:bCs/>
                    <w:kern w:val="2"/>
                    <w:sz w:val="24"/>
                    <w:szCs w:val="24"/>
                    <w:lang w:val="en-US" w:eastAsia="zh-CN" w:bidi="ar-SA"/>
                  </w:rPr>
                  <w:id w:val="147459242"/>
                  <w:placeholder>
                    <w:docPart w:val="{2825f621-6bbe-427d-b7eb-a326f33824dc}"/>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形成城乡区域协调发展新格局</w:t>
                  </w:r>
                </w:sdtContent>
              </w:sdt>
            </w:sdtContent>
          </w:sdt>
          <w:r>
            <w:rPr>
              <w:b/>
              <w:bCs/>
              <w:sz w:val="24"/>
              <w:szCs w:val="24"/>
            </w:rPr>
            <w:tab/>
          </w:r>
          <w:bookmarkStart w:id="22" w:name="_Toc5715_WPSOffice_Level1Page"/>
          <w:r>
            <w:rPr>
              <w:b/>
              <w:bCs/>
              <w:sz w:val="24"/>
              <w:szCs w:val="24"/>
            </w:rPr>
            <w:t>37</w:t>
          </w:r>
          <w:bookmarkEnd w:id="22"/>
          <w:r>
            <w:rPr>
              <w:b/>
              <w:bCs/>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_Toc25951_WPSOffice_Level2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c0783bee-d94f-4bdc-9b9a-a2dab1650dd3}"/>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第一节  优化“一主两翼”城乡发展布局</w:t>
              </w:r>
            </w:sdtContent>
          </w:sdt>
          <w:r>
            <w:rPr>
              <w:sz w:val="24"/>
              <w:szCs w:val="24"/>
            </w:rPr>
            <w:tab/>
          </w:r>
          <w:bookmarkStart w:id="23" w:name="_Toc25951_WPSOffice_Level2Page"/>
          <w:r>
            <w:rPr>
              <w:sz w:val="24"/>
              <w:szCs w:val="24"/>
            </w:rPr>
            <w:t>37</w:t>
          </w:r>
          <w:bookmarkEnd w:id="23"/>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_Toc26598_WPSOffice_Level2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39982470-fec9-4771-a442-c62ed008b2b4}"/>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第二节  提升县城能级水平和辐射功能</w:t>
              </w:r>
            </w:sdtContent>
          </w:sdt>
          <w:r>
            <w:rPr>
              <w:sz w:val="24"/>
              <w:szCs w:val="24"/>
            </w:rPr>
            <w:tab/>
          </w:r>
          <w:bookmarkStart w:id="24" w:name="_Toc26598_WPSOffice_Level2Page"/>
          <w:r>
            <w:rPr>
              <w:sz w:val="24"/>
              <w:szCs w:val="24"/>
            </w:rPr>
            <w:t>38</w:t>
          </w:r>
          <w:bookmarkEnd w:id="24"/>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_Toc15352_WPSOffice_Level2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c2c3ff3b-3b23-46f1-b5fd-ab06240437bc}"/>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第三节  构建区域性综合交通运输枢纽</w:t>
              </w:r>
            </w:sdtContent>
          </w:sdt>
          <w:r>
            <w:rPr>
              <w:sz w:val="24"/>
              <w:szCs w:val="24"/>
            </w:rPr>
            <w:tab/>
          </w:r>
          <w:bookmarkStart w:id="25" w:name="_Toc15352_WPSOffice_Level2Page"/>
          <w:r>
            <w:rPr>
              <w:sz w:val="24"/>
              <w:szCs w:val="24"/>
            </w:rPr>
            <w:t>42</w:t>
          </w:r>
          <w:bookmarkEnd w:id="25"/>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_Toc25662_WPSOffice_Level2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49bb9007-75a4-4fb8-8a16-9bbb1825983d}"/>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第四节  补齐水利能源基础设施短板</w:t>
              </w:r>
            </w:sdtContent>
          </w:sdt>
          <w:r>
            <w:rPr>
              <w:sz w:val="24"/>
              <w:szCs w:val="24"/>
            </w:rPr>
            <w:tab/>
          </w:r>
          <w:bookmarkStart w:id="26" w:name="_Toc25662_WPSOffice_Level2Page"/>
          <w:r>
            <w:rPr>
              <w:sz w:val="24"/>
              <w:szCs w:val="24"/>
            </w:rPr>
            <w:t>43</w:t>
          </w:r>
          <w:bookmarkEnd w:id="26"/>
          <w:r>
            <w:rPr>
              <w:sz w:val="24"/>
              <w:szCs w:val="24"/>
            </w:rPr>
            <w:fldChar w:fldCharType="end"/>
          </w:r>
        </w:p>
        <w:p>
          <w:pPr>
            <w:pStyle w:val="35"/>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b/>
              <w:bCs/>
              <w:sz w:val="24"/>
              <w:szCs w:val="24"/>
            </w:rPr>
            <w:fldChar w:fldCharType="begin"/>
          </w:r>
          <w:r>
            <w:rPr>
              <w:sz w:val="24"/>
              <w:szCs w:val="24"/>
            </w:rPr>
            <w:instrText xml:space="preserve"> HYPERLINK \l _Toc13843_WPSOffice_Level1 </w:instrText>
          </w:r>
          <w:r>
            <w:rPr>
              <w:b/>
              <w:bCs/>
              <w:sz w:val="24"/>
              <w:szCs w:val="24"/>
            </w:rPr>
            <w:fldChar w:fldCharType="separate"/>
          </w:r>
          <w:sdt>
            <w:sdtPr>
              <w:rPr>
                <w:rFonts w:asciiTheme="minorHAnsi" w:hAnsiTheme="minorHAnsi" w:eastAsiaTheme="minorEastAsia" w:cstheme="minorBidi"/>
                <w:b/>
                <w:bCs/>
                <w:kern w:val="2"/>
                <w:sz w:val="24"/>
                <w:szCs w:val="24"/>
                <w:lang w:val="en-US" w:eastAsia="zh-CN" w:bidi="ar-SA"/>
              </w:rPr>
              <w:id w:val="147459242"/>
              <w:placeholder>
                <w:docPart w:val="{7fb61406-4d97-4603-a88e-28b9894d8138}"/>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第六章  实施扩大内需战略 以高质量</w:t>
              </w:r>
              <w:sdt>
                <w:sdtPr>
                  <w:rPr>
                    <w:rFonts w:asciiTheme="minorHAnsi" w:hAnsiTheme="minorHAnsi" w:eastAsiaTheme="minorEastAsia" w:cstheme="minorBidi"/>
                    <w:kern w:val="2"/>
                    <w:sz w:val="24"/>
                    <w:szCs w:val="24"/>
                    <w:lang w:val="en-US" w:eastAsia="zh-CN" w:bidi="ar-SA"/>
                  </w:rPr>
                  <w:id w:val="147459242"/>
                  <w:placeholder>
                    <w:docPart w:val="{4c6a9be8-55b5-4a02-85fb-afa26b66e002}"/>
                  </w:placeholder>
                </w:sdtPr>
                <w:sdtEndPr>
                  <w:rPr>
                    <w:rFonts w:asciiTheme="minorHAnsi" w:hAnsiTheme="minorHAnsi" w:eastAsiaTheme="minorEastAsia" w:cstheme="minorBidi"/>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供给引领新需求</w:t>
                  </w:r>
                </w:sdtContent>
              </w:sdt>
            </w:sdtContent>
          </w:sdt>
          <w:r>
            <w:rPr>
              <w:b/>
              <w:bCs/>
              <w:sz w:val="24"/>
              <w:szCs w:val="24"/>
            </w:rPr>
            <w:tab/>
          </w:r>
          <w:bookmarkStart w:id="27" w:name="_Toc13843_WPSOffice_Level1Page"/>
          <w:r>
            <w:rPr>
              <w:b/>
              <w:bCs/>
              <w:sz w:val="24"/>
              <w:szCs w:val="24"/>
            </w:rPr>
            <w:t>44</w:t>
          </w:r>
          <w:bookmarkEnd w:id="27"/>
          <w:r>
            <w:rPr>
              <w:b/>
              <w:bCs/>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_Toc27536_WPSOffice_Level2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6ff0fc70-7e8e-449c-8fa8-9c68ac2bd5a2}"/>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第一节  全面促进消费扩容提质</w:t>
              </w:r>
            </w:sdtContent>
          </w:sdt>
          <w:r>
            <w:rPr>
              <w:sz w:val="24"/>
              <w:szCs w:val="24"/>
            </w:rPr>
            <w:tab/>
          </w:r>
          <w:bookmarkStart w:id="28" w:name="_Toc27536_WPSOffice_Level2Page"/>
          <w:r>
            <w:rPr>
              <w:sz w:val="24"/>
              <w:szCs w:val="24"/>
            </w:rPr>
            <w:t>45</w:t>
          </w:r>
          <w:bookmarkEnd w:id="28"/>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_Toc3205_WPSOffice_Level2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a972175e-d0a6-468c-920d-814406ec0d57}"/>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第二节  精准扩大有效投资</w:t>
              </w:r>
            </w:sdtContent>
          </w:sdt>
          <w:r>
            <w:rPr>
              <w:sz w:val="24"/>
              <w:szCs w:val="24"/>
            </w:rPr>
            <w:tab/>
          </w:r>
          <w:bookmarkStart w:id="29" w:name="_Toc3205_WPSOffice_Level2Page"/>
          <w:r>
            <w:rPr>
              <w:sz w:val="24"/>
              <w:szCs w:val="24"/>
            </w:rPr>
            <w:t>47</w:t>
          </w:r>
          <w:bookmarkEnd w:id="29"/>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_Toc24118_WPSOffice_Level2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526551d3-45bc-4b6b-9eee-74a9f216c900}"/>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第三节  构建内外贸融合新格局</w:t>
              </w:r>
            </w:sdtContent>
          </w:sdt>
          <w:r>
            <w:rPr>
              <w:sz w:val="24"/>
              <w:szCs w:val="24"/>
            </w:rPr>
            <w:tab/>
          </w:r>
          <w:bookmarkStart w:id="30" w:name="_Toc24118_WPSOffice_Level2Page"/>
          <w:r>
            <w:rPr>
              <w:sz w:val="24"/>
              <w:szCs w:val="24"/>
            </w:rPr>
            <w:t>47</w:t>
          </w:r>
          <w:bookmarkEnd w:id="30"/>
          <w:r>
            <w:rPr>
              <w:sz w:val="24"/>
              <w:szCs w:val="24"/>
            </w:rPr>
            <w:fldChar w:fldCharType="end"/>
          </w:r>
        </w:p>
        <w:p>
          <w:pPr>
            <w:pStyle w:val="35"/>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b/>
              <w:bCs/>
              <w:sz w:val="24"/>
              <w:szCs w:val="24"/>
            </w:rPr>
            <w:fldChar w:fldCharType="begin"/>
          </w:r>
          <w:r>
            <w:rPr>
              <w:sz w:val="24"/>
              <w:szCs w:val="24"/>
            </w:rPr>
            <w:instrText xml:space="preserve"> HYPERLINK \l _Toc16699_WPSOffice_Level1 </w:instrText>
          </w:r>
          <w:r>
            <w:rPr>
              <w:b/>
              <w:bCs/>
              <w:sz w:val="24"/>
              <w:szCs w:val="24"/>
            </w:rPr>
            <w:fldChar w:fldCharType="separate"/>
          </w:r>
          <w:sdt>
            <w:sdtPr>
              <w:rPr>
                <w:rFonts w:asciiTheme="minorHAnsi" w:hAnsiTheme="minorHAnsi" w:eastAsiaTheme="minorEastAsia" w:cstheme="minorBidi"/>
                <w:b/>
                <w:bCs/>
                <w:kern w:val="2"/>
                <w:sz w:val="24"/>
                <w:szCs w:val="24"/>
                <w:lang w:val="en-US" w:eastAsia="zh-CN" w:bidi="ar-SA"/>
              </w:rPr>
              <w:id w:val="147459242"/>
              <w:placeholder>
                <w:docPart w:val="{689f4d5b-f0e1-4169-bd29-3c6ebe2df922}"/>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第七章  深入践行“两山”理念 打造</w:t>
              </w:r>
              <w:sdt>
                <w:sdtPr>
                  <w:rPr>
                    <w:rFonts w:asciiTheme="minorHAnsi" w:hAnsiTheme="minorHAnsi" w:eastAsiaTheme="minorEastAsia" w:cstheme="minorBidi"/>
                    <w:b/>
                    <w:bCs/>
                    <w:kern w:val="2"/>
                    <w:sz w:val="24"/>
                    <w:szCs w:val="24"/>
                    <w:lang w:val="en-US" w:eastAsia="zh-CN" w:bidi="ar-SA"/>
                  </w:rPr>
                  <w:id w:val="147459242"/>
                  <w:placeholder>
                    <w:docPart w:val="{63908dd6-9f2c-4404-8e64-099a9dff7195}"/>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绿色发展样板区</w:t>
                  </w:r>
                </w:sdtContent>
              </w:sdt>
            </w:sdtContent>
          </w:sdt>
          <w:r>
            <w:rPr>
              <w:b/>
              <w:bCs/>
              <w:sz w:val="24"/>
              <w:szCs w:val="24"/>
            </w:rPr>
            <w:tab/>
          </w:r>
          <w:bookmarkStart w:id="31" w:name="_Toc16699_WPSOffice_Level1Page"/>
          <w:r>
            <w:rPr>
              <w:b/>
              <w:bCs/>
              <w:sz w:val="24"/>
              <w:szCs w:val="24"/>
            </w:rPr>
            <w:t>48</w:t>
          </w:r>
          <w:bookmarkEnd w:id="31"/>
          <w:r>
            <w:rPr>
              <w:b/>
              <w:bCs/>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_Toc5970_WPSOffice_Level2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d1087d89-22f1-4a46-b0ef-4047ea628195}"/>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第一节  坚持保护环境不动摇</w:t>
              </w:r>
            </w:sdtContent>
          </w:sdt>
          <w:r>
            <w:rPr>
              <w:sz w:val="24"/>
              <w:szCs w:val="24"/>
            </w:rPr>
            <w:tab/>
          </w:r>
          <w:bookmarkStart w:id="32" w:name="_Toc5970_WPSOffice_Level2Page"/>
          <w:r>
            <w:rPr>
              <w:sz w:val="24"/>
              <w:szCs w:val="24"/>
            </w:rPr>
            <w:t>48</w:t>
          </w:r>
          <w:bookmarkEnd w:id="32"/>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_Toc15641_WPSOffice_Level2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75c6f7a9-b4a2-42fd-8485-cbef80ff49de}"/>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第二节  夯实绿色生态本底</w:t>
              </w:r>
            </w:sdtContent>
          </w:sdt>
          <w:r>
            <w:rPr>
              <w:sz w:val="24"/>
              <w:szCs w:val="24"/>
            </w:rPr>
            <w:tab/>
          </w:r>
          <w:bookmarkStart w:id="33" w:name="_Toc15641_WPSOffice_Level2Page"/>
          <w:r>
            <w:rPr>
              <w:sz w:val="24"/>
              <w:szCs w:val="24"/>
            </w:rPr>
            <w:t>49</w:t>
          </w:r>
          <w:bookmarkEnd w:id="33"/>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_Toc9014_WPSOffice_Level2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93b75403-289f-40fd-ba1f-22a95f502958}"/>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第三节  拓宽“两山”转化通道</w:t>
              </w:r>
            </w:sdtContent>
          </w:sdt>
          <w:r>
            <w:rPr>
              <w:sz w:val="24"/>
              <w:szCs w:val="24"/>
            </w:rPr>
            <w:tab/>
          </w:r>
          <w:bookmarkStart w:id="34" w:name="_Toc9014_WPSOffice_Level2Page"/>
          <w:r>
            <w:rPr>
              <w:sz w:val="24"/>
              <w:szCs w:val="24"/>
            </w:rPr>
            <w:t>50</w:t>
          </w:r>
          <w:bookmarkEnd w:id="34"/>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_Toc16952_WPSOffice_Level2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e0a28f9b-1f0a-48de-b291-3a6d464f2e9f}"/>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第四节  严格落实生态环境保护责任</w:t>
              </w:r>
            </w:sdtContent>
          </w:sdt>
          <w:r>
            <w:rPr>
              <w:sz w:val="24"/>
              <w:szCs w:val="24"/>
            </w:rPr>
            <w:tab/>
          </w:r>
          <w:bookmarkStart w:id="35" w:name="_Toc16952_WPSOffice_Level2Page"/>
          <w:r>
            <w:rPr>
              <w:sz w:val="24"/>
              <w:szCs w:val="24"/>
            </w:rPr>
            <w:t>50</w:t>
          </w:r>
          <w:bookmarkEnd w:id="35"/>
          <w:r>
            <w:rPr>
              <w:sz w:val="24"/>
              <w:szCs w:val="24"/>
            </w:rPr>
            <w:fldChar w:fldCharType="end"/>
          </w:r>
        </w:p>
        <w:p>
          <w:pPr>
            <w:pStyle w:val="35"/>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b/>
              <w:bCs/>
              <w:sz w:val="24"/>
              <w:szCs w:val="24"/>
            </w:rPr>
            <w:fldChar w:fldCharType="begin"/>
          </w:r>
          <w:r>
            <w:rPr>
              <w:sz w:val="24"/>
              <w:szCs w:val="24"/>
            </w:rPr>
            <w:instrText xml:space="preserve"> HYPERLINK \l _Toc19573_WPSOffice_Level1 </w:instrText>
          </w:r>
          <w:r>
            <w:rPr>
              <w:b/>
              <w:bCs/>
              <w:sz w:val="24"/>
              <w:szCs w:val="24"/>
            </w:rPr>
            <w:fldChar w:fldCharType="separate"/>
          </w:r>
          <w:sdt>
            <w:sdtPr>
              <w:rPr>
                <w:rFonts w:asciiTheme="minorHAnsi" w:hAnsiTheme="minorHAnsi" w:eastAsiaTheme="minorEastAsia" w:cstheme="minorBidi"/>
                <w:b/>
                <w:bCs/>
                <w:kern w:val="2"/>
                <w:sz w:val="24"/>
                <w:szCs w:val="24"/>
                <w:lang w:val="en-US" w:eastAsia="zh-CN" w:bidi="ar-SA"/>
              </w:rPr>
              <w:id w:val="147459242"/>
              <w:placeholder>
                <w:docPart w:val="{5ad3cf13-30b6-4337-9273-f223fb1db794}"/>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第八章  全面深化改革开放 切实</w:t>
              </w:r>
            </w:sdtContent>
          </w:sdt>
          <w:sdt>
            <w:sdtPr>
              <w:rPr>
                <w:rFonts w:asciiTheme="minorHAnsi" w:hAnsiTheme="minorHAnsi" w:eastAsiaTheme="minorEastAsia" w:cstheme="minorBidi"/>
                <w:b/>
                <w:bCs/>
                <w:kern w:val="2"/>
                <w:sz w:val="24"/>
                <w:szCs w:val="24"/>
                <w:lang w:val="en-US" w:eastAsia="zh-CN" w:bidi="ar-SA"/>
              </w:rPr>
              <w:id w:val="147459242"/>
              <w:placeholder>
                <w:docPart w:val="{00b954f2-9c94-487d-9267-c034fd016976}"/>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增强发展内生动力</w:t>
              </w:r>
            </w:sdtContent>
          </w:sdt>
          <w:r>
            <w:rPr>
              <w:b/>
              <w:bCs/>
              <w:sz w:val="24"/>
              <w:szCs w:val="24"/>
            </w:rPr>
            <w:tab/>
          </w:r>
          <w:bookmarkStart w:id="36" w:name="_Toc19573_WPSOffice_Level1Page"/>
          <w:r>
            <w:rPr>
              <w:b/>
              <w:bCs/>
              <w:sz w:val="24"/>
              <w:szCs w:val="24"/>
            </w:rPr>
            <w:t>52</w:t>
          </w:r>
          <w:bookmarkEnd w:id="36"/>
          <w:r>
            <w:rPr>
              <w:b/>
              <w:bCs/>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_Toc14593_WPSOffice_Level2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7c055a69-35d8-451b-8cb7-b4980a25e137}"/>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第一节  深度融入长三角一体化发展</w:t>
              </w:r>
            </w:sdtContent>
          </w:sdt>
          <w:r>
            <w:rPr>
              <w:sz w:val="24"/>
              <w:szCs w:val="24"/>
            </w:rPr>
            <w:tab/>
          </w:r>
          <w:bookmarkStart w:id="37" w:name="_Toc14593_WPSOffice_Level2Page"/>
          <w:r>
            <w:rPr>
              <w:sz w:val="24"/>
              <w:szCs w:val="24"/>
            </w:rPr>
            <w:t>52</w:t>
          </w:r>
          <w:bookmarkEnd w:id="37"/>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_Toc14621_WPSOffice_Level2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04f12ef3-115e-49e0-8b89-e095582b83a3}"/>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 xml:space="preserve">第二节  </w:t>
              </w:r>
              <w:r>
                <w:rPr>
                  <w:rFonts w:hint="eastAsia" w:ascii="仿宋_GB2312" w:hAnsi="仿宋_GB2312" w:eastAsia="仿宋_GB2312" w:cs="仿宋_GB2312"/>
                  <w:sz w:val="24"/>
                  <w:szCs w:val="24"/>
                </w:rPr>
                <w:t>激发各类市场主体活力</w:t>
              </w:r>
            </w:sdtContent>
          </w:sdt>
          <w:r>
            <w:rPr>
              <w:sz w:val="24"/>
              <w:szCs w:val="24"/>
            </w:rPr>
            <w:tab/>
          </w:r>
          <w:bookmarkStart w:id="38" w:name="_Toc14621_WPSOffice_Level2Page"/>
          <w:r>
            <w:rPr>
              <w:sz w:val="24"/>
              <w:szCs w:val="24"/>
            </w:rPr>
            <w:t>54</w:t>
          </w:r>
          <w:bookmarkEnd w:id="38"/>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_Toc28890_WPSOffice_Level2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7c050ecf-09d5-4dc3-a50c-ca1855a754c4}"/>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第三节  进一步转变政府职能</w:t>
              </w:r>
            </w:sdtContent>
          </w:sdt>
          <w:r>
            <w:rPr>
              <w:sz w:val="24"/>
              <w:szCs w:val="24"/>
            </w:rPr>
            <w:tab/>
          </w:r>
          <w:bookmarkStart w:id="39" w:name="_Toc28890_WPSOffice_Level2Page"/>
          <w:r>
            <w:rPr>
              <w:sz w:val="24"/>
              <w:szCs w:val="24"/>
            </w:rPr>
            <w:t>54</w:t>
          </w:r>
          <w:bookmarkEnd w:id="39"/>
          <w:r>
            <w:rPr>
              <w:sz w:val="24"/>
              <w:szCs w:val="24"/>
            </w:rPr>
            <w:fldChar w:fldCharType="end"/>
          </w:r>
        </w:p>
        <w:p>
          <w:pPr>
            <w:pStyle w:val="35"/>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b/>
              <w:bCs/>
              <w:sz w:val="24"/>
              <w:szCs w:val="24"/>
            </w:rPr>
            <w:fldChar w:fldCharType="begin"/>
          </w:r>
          <w:r>
            <w:rPr>
              <w:sz w:val="24"/>
              <w:szCs w:val="24"/>
            </w:rPr>
            <w:instrText xml:space="preserve"> HYPERLINK \l _Toc8421_WPSOffice_Level1 </w:instrText>
          </w:r>
          <w:r>
            <w:rPr>
              <w:b/>
              <w:bCs/>
              <w:sz w:val="24"/>
              <w:szCs w:val="24"/>
            </w:rPr>
            <w:fldChar w:fldCharType="separate"/>
          </w:r>
          <w:sdt>
            <w:sdtPr>
              <w:rPr>
                <w:rFonts w:asciiTheme="minorHAnsi" w:hAnsiTheme="minorHAnsi" w:eastAsiaTheme="minorEastAsia" w:cstheme="minorBidi"/>
                <w:b/>
                <w:bCs/>
                <w:kern w:val="2"/>
                <w:sz w:val="24"/>
                <w:szCs w:val="24"/>
                <w:lang w:val="en-US" w:eastAsia="zh-CN" w:bidi="ar-SA"/>
              </w:rPr>
              <w:id w:val="147459242"/>
              <w:placeholder>
                <w:docPart w:val="{53347103-1c73-40e1-9394-a1e9f6d80c29}"/>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第九章  提高社会建设水平 改善人民生活品质</w:t>
              </w:r>
            </w:sdtContent>
          </w:sdt>
          <w:r>
            <w:rPr>
              <w:b/>
              <w:bCs/>
              <w:sz w:val="24"/>
              <w:szCs w:val="24"/>
            </w:rPr>
            <w:tab/>
          </w:r>
          <w:bookmarkStart w:id="40" w:name="_Toc8421_WPSOffice_Level1Page"/>
          <w:r>
            <w:rPr>
              <w:b/>
              <w:bCs/>
              <w:sz w:val="24"/>
              <w:szCs w:val="24"/>
            </w:rPr>
            <w:t>55</w:t>
          </w:r>
          <w:bookmarkEnd w:id="40"/>
          <w:r>
            <w:rPr>
              <w:b/>
              <w:bCs/>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_Toc9572_WPSOffice_Level2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5467d016-3b1d-4aed-b27b-b71b892b0ff8}"/>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第一节  促进更高质量更加充分就业</w:t>
              </w:r>
            </w:sdtContent>
          </w:sdt>
          <w:r>
            <w:rPr>
              <w:sz w:val="24"/>
              <w:szCs w:val="24"/>
            </w:rPr>
            <w:tab/>
          </w:r>
          <w:bookmarkStart w:id="41" w:name="_Toc9572_WPSOffice_Level2Page"/>
          <w:r>
            <w:rPr>
              <w:sz w:val="24"/>
              <w:szCs w:val="24"/>
            </w:rPr>
            <w:t>55</w:t>
          </w:r>
          <w:bookmarkEnd w:id="41"/>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_Toc10424_WPSOffice_Level2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6cd489e1-ecba-4bea-8352-f8daebfac0e4}"/>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第二节  提高城乡居民收入水平</w:t>
              </w:r>
            </w:sdtContent>
          </w:sdt>
          <w:r>
            <w:rPr>
              <w:sz w:val="24"/>
              <w:szCs w:val="24"/>
            </w:rPr>
            <w:tab/>
          </w:r>
          <w:bookmarkStart w:id="42" w:name="_Toc10424_WPSOffice_Level2Page"/>
          <w:r>
            <w:rPr>
              <w:sz w:val="24"/>
              <w:szCs w:val="24"/>
            </w:rPr>
            <w:t>56</w:t>
          </w:r>
          <w:bookmarkEnd w:id="42"/>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_Toc24405_WPSOffice_Level2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191e3385-0556-4212-a5c1-6de68f8b7b2b}"/>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第三节  健全多层次</w:t>
              </w:r>
              <w:r>
                <w:rPr>
                  <w:rFonts w:ascii="仿宋_GB2312" w:hAnsi="楷体" w:eastAsia="仿宋_GB2312" w:cstheme="majorBidi"/>
                  <w:sz w:val="24"/>
                  <w:szCs w:val="24"/>
                </w:rPr>
                <w:t>社会保障体系</w:t>
              </w:r>
            </w:sdtContent>
          </w:sdt>
          <w:r>
            <w:rPr>
              <w:sz w:val="24"/>
              <w:szCs w:val="24"/>
            </w:rPr>
            <w:tab/>
          </w:r>
          <w:bookmarkStart w:id="43" w:name="_Toc24405_WPSOffice_Level2Page"/>
          <w:r>
            <w:rPr>
              <w:sz w:val="24"/>
              <w:szCs w:val="24"/>
            </w:rPr>
            <w:t>56</w:t>
          </w:r>
          <w:bookmarkEnd w:id="43"/>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_Toc20320_WPSOffice_Level2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10cfaf3b-02f2-4880-849f-22cd894b27f7}"/>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第四节  办好人民满意的教育</w:t>
              </w:r>
            </w:sdtContent>
          </w:sdt>
          <w:r>
            <w:rPr>
              <w:sz w:val="24"/>
              <w:szCs w:val="24"/>
            </w:rPr>
            <w:tab/>
          </w:r>
          <w:bookmarkStart w:id="44" w:name="_Toc20320_WPSOffice_Level2Page"/>
          <w:r>
            <w:rPr>
              <w:sz w:val="24"/>
              <w:szCs w:val="24"/>
            </w:rPr>
            <w:t>57</w:t>
          </w:r>
          <w:bookmarkEnd w:id="44"/>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_Toc646_WPSOffice_Level2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8cc75813-461c-484c-aa99-f221117b58b3}"/>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第五节  建设普惠全民的健康绩溪</w:t>
              </w:r>
            </w:sdtContent>
          </w:sdt>
          <w:r>
            <w:rPr>
              <w:sz w:val="24"/>
              <w:szCs w:val="24"/>
            </w:rPr>
            <w:tab/>
          </w:r>
          <w:bookmarkStart w:id="45" w:name="_Toc646_WPSOffice_Level2Page"/>
          <w:r>
            <w:rPr>
              <w:sz w:val="24"/>
              <w:szCs w:val="24"/>
            </w:rPr>
            <w:t>58</w:t>
          </w:r>
          <w:bookmarkEnd w:id="45"/>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_Toc25200_WPSOffice_Level2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d94ba83c-203d-4aaa-a87f-63396b6f1e95}"/>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第六节  全面提升人口管理服务水平</w:t>
              </w:r>
            </w:sdtContent>
          </w:sdt>
          <w:r>
            <w:rPr>
              <w:sz w:val="24"/>
              <w:szCs w:val="24"/>
            </w:rPr>
            <w:tab/>
          </w:r>
          <w:bookmarkStart w:id="46" w:name="_Toc25200_WPSOffice_Level2Page"/>
          <w:r>
            <w:rPr>
              <w:sz w:val="24"/>
              <w:szCs w:val="24"/>
            </w:rPr>
            <w:t>59</w:t>
          </w:r>
          <w:bookmarkEnd w:id="46"/>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_Toc3345_WPSOffice_Level2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9b3c43bd-8cf8-4184-8d1f-1bad45a52cb6}"/>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第七节  推动妇女儿童发展和家庭建设</w:t>
              </w:r>
            </w:sdtContent>
          </w:sdt>
          <w:r>
            <w:rPr>
              <w:sz w:val="24"/>
              <w:szCs w:val="24"/>
            </w:rPr>
            <w:tab/>
          </w:r>
          <w:bookmarkStart w:id="47" w:name="_Toc3345_WPSOffice_Level2Page"/>
          <w:r>
            <w:rPr>
              <w:sz w:val="24"/>
              <w:szCs w:val="24"/>
            </w:rPr>
            <w:t>60</w:t>
          </w:r>
          <w:bookmarkEnd w:id="47"/>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_Toc19137_WPSOffice_Level2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04b2fd9b-b969-4173-8bdf-66ef76d16fe1}"/>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第八节  繁荣发展文化事业</w:t>
              </w:r>
            </w:sdtContent>
          </w:sdt>
          <w:r>
            <w:rPr>
              <w:sz w:val="24"/>
              <w:szCs w:val="24"/>
            </w:rPr>
            <w:tab/>
          </w:r>
          <w:bookmarkStart w:id="48" w:name="_Toc19137_WPSOffice_Level2Page"/>
          <w:r>
            <w:rPr>
              <w:sz w:val="24"/>
              <w:szCs w:val="24"/>
            </w:rPr>
            <w:t>6</w:t>
          </w:r>
          <w:bookmarkEnd w:id="48"/>
          <w:r>
            <w:rPr>
              <w:rFonts w:hint="eastAsia"/>
              <w:sz w:val="24"/>
              <w:szCs w:val="24"/>
              <w:lang w:val="en-US" w:eastAsia="zh-CN"/>
            </w:rPr>
            <w:t>2</w:t>
          </w:r>
          <w:r>
            <w:rPr>
              <w:sz w:val="24"/>
              <w:szCs w:val="24"/>
            </w:rPr>
            <w:fldChar w:fldCharType="end"/>
          </w:r>
        </w:p>
        <w:p>
          <w:pPr>
            <w:pStyle w:val="35"/>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b/>
              <w:bCs/>
              <w:sz w:val="24"/>
              <w:szCs w:val="24"/>
            </w:rPr>
            <w:fldChar w:fldCharType="begin"/>
          </w:r>
          <w:r>
            <w:rPr>
              <w:sz w:val="24"/>
              <w:szCs w:val="24"/>
            </w:rPr>
            <w:instrText xml:space="preserve"> HYPERLINK \l _Toc3248_WPSOffice_Level1 </w:instrText>
          </w:r>
          <w:r>
            <w:rPr>
              <w:b/>
              <w:bCs/>
              <w:sz w:val="24"/>
              <w:szCs w:val="24"/>
            </w:rPr>
            <w:fldChar w:fldCharType="separate"/>
          </w:r>
          <w:sdt>
            <w:sdtPr>
              <w:rPr>
                <w:rFonts w:asciiTheme="minorHAnsi" w:hAnsiTheme="minorHAnsi" w:eastAsiaTheme="minorEastAsia" w:cstheme="minorBidi"/>
                <w:b/>
                <w:bCs/>
                <w:kern w:val="2"/>
                <w:sz w:val="24"/>
                <w:szCs w:val="24"/>
                <w:lang w:val="en-US" w:eastAsia="zh-CN" w:bidi="ar-SA"/>
              </w:rPr>
              <w:id w:val="147459242"/>
              <w:placeholder>
                <w:docPart w:val="{849b200b-8031-44c4-98a3-5b43c466ff18}"/>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第十章  统筹发展和安全  建设更高</w:t>
              </w:r>
              <w:sdt>
                <w:sdtPr>
                  <w:rPr>
                    <w:rFonts w:asciiTheme="minorHAnsi" w:hAnsiTheme="minorHAnsi" w:eastAsiaTheme="minorEastAsia" w:cstheme="minorBidi"/>
                    <w:b/>
                    <w:bCs/>
                    <w:kern w:val="2"/>
                    <w:sz w:val="24"/>
                    <w:szCs w:val="24"/>
                    <w:lang w:val="en-US" w:eastAsia="zh-CN" w:bidi="ar-SA"/>
                  </w:rPr>
                  <w:id w:val="147459242"/>
                  <w:placeholder>
                    <w:docPart w:val="{bd06c833-ceea-4a04-b97f-2cf70b20c767}"/>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水平的平安绩溪</w:t>
                  </w:r>
                </w:sdtContent>
              </w:sdt>
            </w:sdtContent>
          </w:sdt>
          <w:r>
            <w:rPr>
              <w:b/>
              <w:bCs/>
              <w:sz w:val="24"/>
              <w:szCs w:val="24"/>
            </w:rPr>
            <w:tab/>
          </w:r>
          <w:bookmarkStart w:id="49" w:name="_Toc3248_WPSOffice_Level1Page"/>
          <w:r>
            <w:rPr>
              <w:b/>
              <w:bCs/>
              <w:sz w:val="24"/>
              <w:szCs w:val="24"/>
            </w:rPr>
            <w:t>6</w:t>
          </w:r>
          <w:bookmarkEnd w:id="49"/>
          <w:r>
            <w:rPr>
              <w:rFonts w:hint="eastAsia"/>
              <w:b/>
              <w:bCs/>
              <w:sz w:val="24"/>
              <w:szCs w:val="24"/>
              <w:lang w:val="en-US" w:eastAsia="zh-CN"/>
            </w:rPr>
            <w:t>3</w:t>
          </w:r>
          <w:r>
            <w:rPr>
              <w:b/>
              <w:bCs/>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_Toc18671_WPSOffice_Level2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ac43fee8-2626-47ed-b3f1-60a1471fe54e}"/>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第一节  坚决捍卫政治安全</w:t>
              </w:r>
            </w:sdtContent>
          </w:sdt>
          <w:r>
            <w:rPr>
              <w:sz w:val="24"/>
              <w:szCs w:val="24"/>
            </w:rPr>
            <w:tab/>
          </w:r>
          <w:bookmarkStart w:id="50" w:name="_Toc18671_WPSOffice_Level2Page"/>
          <w:r>
            <w:rPr>
              <w:sz w:val="24"/>
              <w:szCs w:val="24"/>
            </w:rPr>
            <w:t>6</w:t>
          </w:r>
          <w:bookmarkEnd w:id="50"/>
          <w:r>
            <w:rPr>
              <w:rFonts w:hint="eastAsia"/>
              <w:sz w:val="24"/>
              <w:szCs w:val="24"/>
              <w:lang w:val="en-US" w:eastAsia="zh-CN"/>
            </w:rPr>
            <w:t>3</w:t>
          </w:r>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_Toc9426_WPSOffice_Level2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d6b83869-2f26-4243-942c-db4b8b05babc}"/>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第二节  维护经济运行安全</w:t>
              </w:r>
            </w:sdtContent>
          </w:sdt>
          <w:r>
            <w:rPr>
              <w:sz w:val="24"/>
              <w:szCs w:val="24"/>
            </w:rPr>
            <w:tab/>
          </w:r>
          <w:bookmarkStart w:id="51" w:name="_Toc9426_WPSOffice_Level2Page"/>
          <w:r>
            <w:rPr>
              <w:sz w:val="24"/>
              <w:szCs w:val="24"/>
            </w:rPr>
            <w:t>6</w:t>
          </w:r>
          <w:bookmarkEnd w:id="51"/>
          <w:r>
            <w:rPr>
              <w:rFonts w:hint="eastAsia"/>
              <w:sz w:val="24"/>
              <w:szCs w:val="24"/>
              <w:lang w:val="en-US" w:eastAsia="zh-CN"/>
            </w:rPr>
            <w:t>3</w:t>
          </w:r>
          <w:r>
            <w:rPr>
              <w:sz w:val="24"/>
              <w:szCs w:val="24"/>
            </w:rPr>
            <w:fldChar w:fldCharType="end"/>
          </w:r>
        </w:p>
        <w:p>
          <w:pPr>
            <w:pStyle w:val="36"/>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rPr>
              <w:sz w:val="24"/>
              <w:szCs w:val="24"/>
            </w:rPr>
          </w:pPr>
          <w:r>
            <w:rPr>
              <w:sz w:val="24"/>
              <w:szCs w:val="24"/>
            </w:rPr>
            <w:fldChar w:fldCharType="begin"/>
          </w:r>
          <w:r>
            <w:rPr>
              <w:sz w:val="24"/>
              <w:szCs w:val="24"/>
            </w:rPr>
            <w:instrText xml:space="preserve"> HYPERLINK \l _Toc23300_WPSOffice_Level2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59242"/>
              <w:placeholder>
                <w:docPart w:val="{764c9a32-4850-4534-9e69-273e7e58dab4}"/>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楷体" w:eastAsia="仿宋_GB2312" w:cstheme="majorBidi"/>
                  <w:sz w:val="24"/>
                  <w:szCs w:val="24"/>
                </w:rPr>
                <w:t xml:space="preserve">第三节  </w:t>
              </w:r>
              <w:r>
                <w:rPr>
                  <w:rFonts w:hint="eastAsia" w:ascii="仿宋_GB2312" w:hAnsi="仿宋_GB2312" w:eastAsia="仿宋_GB2312" w:cs="仿宋_GB2312"/>
                  <w:sz w:val="24"/>
                  <w:szCs w:val="24"/>
                </w:rPr>
                <w:t>加强和创新社会治理</w:t>
              </w:r>
            </w:sdtContent>
          </w:sdt>
          <w:r>
            <w:rPr>
              <w:sz w:val="24"/>
              <w:szCs w:val="24"/>
            </w:rPr>
            <w:tab/>
          </w:r>
          <w:bookmarkStart w:id="52" w:name="_Toc23300_WPSOffice_Level2Page"/>
          <w:r>
            <w:rPr>
              <w:sz w:val="24"/>
              <w:szCs w:val="24"/>
            </w:rPr>
            <w:t>6</w:t>
          </w:r>
          <w:bookmarkEnd w:id="52"/>
          <w:r>
            <w:rPr>
              <w:rFonts w:hint="eastAsia"/>
              <w:sz w:val="24"/>
              <w:szCs w:val="24"/>
              <w:lang w:val="en-US" w:eastAsia="zh-CN"/>
            </w:rPr>
            <w:t>4</w:t>
          </w:r>
          <w:r>
            <w:rPr>
              <w:sz w:val="24"/>
              <w:szCs w:val="24"/>
            </w:rPr>
            <w:fldChar w:fldCharType="end"/>
          </w:r>
        </w:p>
        <w:p>
          <w:pPr>
            <w:pStyle w:val="35"/>
            <w:keepNext w:val="0"/>
            <w:keepLines w:val="0"/>
            <w:pageBreakBefore w:val="0"/>
            <w:widowControl/>
            <w:tabs>
              <w:tab w:val="right" w:leader="dot" w:pos="8617"/>
            </w:tabs>
            <w:kinsoku/>
            <w:wordWrap/>
            <w:overflowPunct/>
            <w:topLinePunct w:val="0"/>
            <w:autoSpaceDE/>
            <w:autoSpaceDN/>
            <w:bidi w:val="0"/>
            <w:adjustRightInd/>
            <w:snapToGrid/>
            <w:spacing w:line="480" w:lineRule="exact"/>
            <w:textAlignment w:val="auto"/>
            <w:outlineLvl w:val="9"/>
          </w:pPr>
          <w:r>
            <w:rPr>
              <w:b/>
              <w:bCs/>
              <w:sz w:val="24"/>
              <w:szCs w:val="24"/>
            </w:rPr>
            <w:fldChar w:fldCharType="begin"/>
          </w:r>
          <w:r>
            <w:rPr>
              <w:sz w:val="24"/>
              <w:szCs w:val="24"/>
            </w:rPr>
            <w:instrText xml:space="preserve"> HYPERLINK \l _Toc27565_WPSOffice_Level1 </w:instrText>
          </w:r>
          <w:r>
            <w:rPr>
              <w:b/>
              <w:bCs/>
              <w:sz w:val="24"/>
              <w:szCs w:val="24"/>
            </w:rPr>
            <w:fldChar w:fldCharType="separate"/>
          </w:r>
          <w:sdt>
            <w:sdtPr>
              <w:rPr>
                <w:rFonts w:asciiTheme="minorHAnsi" w:hAnsiTheme="minorHAnsi" w:eastAsiaTheme="minorEastAsia" w:cstheme="minorBidi"/>
                <w:b/>
                <w:bCs/>
                <w:kern w:val="2"/>
                <w:sz w:val="24"/>
                <w:szCs w:val="24"/>
                <w:lang w:val="en-US" w:eastAsia="zh-CN" w:bidi="ar-SA"/>
              </w:rPr>
              <w:id w:val="147459242"/>
              <w:placeholder>
                <w:docPart w:val="{1b0974fb-07c3-4b33-8a5b-3188c0c1fedd}"/>
              </w:placeholder>
            </w:sdtPr>
            <w:sdtEndPr>
              <w:rPr>
                <w:rFonts w:asciiTheme="minorHAnsi" w:hAnsiTheme="minorHAnsi" w:eastAsiaTheme="minorEastAsia" w:cstheme="minorBidi"/>
                <w:b/>
                <w:bCs/>
                <w:kern w:val="2"/>
                <w:sz w:val="24"/>
                <w:szCs w:val="24"/>
                <w:lang w:val="en-US" w:eastAsia="zh-CN" w:bidi="ar-SA"/>
              </w:rPr>
            </w:sdtEndPr>
            <w:sdtContent>
              <w:r>
                <w:rPr>
                  <w:rFonts w:hint="eastAsia" w:ascii="方正小标宋简体" w:hAnsi="方正小标宋简体" w:eastAsia="方正小标宋简体" w:cs="方正小标宋简体"/>
                  <w:b/>
                  <w:bCs/>
                  <w:sz w:val="24"/>
                  <w:szCs w:val="24"/>
                </w:rPr>
                <w:t>第十一章  加强规划组织实施</w:t>
              </w:r>
            </w:sdtContent>
          </w:sdt>
          <w:r>
            <w:rPr>
              <w:b/>
              <w:bCs/>
              <w:sz w:val="24"/>
              <w:szCs w:val="24"/>
            </w:rPr>
            <w:tab/>
          </w:r>
          <w:bookmarkStart w:id="53" w:name="_Toc27565_WPSOffice_Level1Page"/>
          <w:r>
            <w:rPr>
              <w:b/>
              <w:bCs/>
              <w:sz w:val="24"/>
              <w:szCs w:val="24"/>
            </w:rPr>
            <w:t>6</w:t>
          </w:r>
          <w:bookmarkEnd w:id="53"/>
          <w:r>
            <w:rPr>
              <w:rFonts w:hint="eastAsia"/>
              <w:b/>
              <w:bCs/>
              <w:sz w:val="24"/>
              <w:szCs w:val="24"/>
              <w:lang w:val="en-US" w:eastAsia="zh-CN"/>
            </w:rPr>
            <w:t>5</w:t>
          </w:r>
          <w:r>
            <w:rPr>
              <w:b/>
              <w:bCs/>
              <w:sz w:val="24"/>
              <w:szCs w:val="24"/>
            </w:rPr>
            <w:fldChar w:fldCharType="end"/>
          </w:r>
          <w:bookmarkEnd w:id="0"/>
        </w:p>
      </w:sdtContent>
    </w:sdt>
    <w:p>
      <w:pPr>
        <w:keepNext w:val="0"/>
        <w:keepLines w:val="0"/>
        <w:pageBreakBefore w:val="0"/>
        <w:widowControl w:val="0"/>
        <w:kinsoku/>
        <w:wordWrap/>
        <w:overflowPunct/>
        <w:topLinePunct w:val="0"/>
        <w:autoSpaceDE/>
        <w:autoSpaceDN/>
        <w:bidi w:val="0"/>
        <w:adjustRightInd/>
        <w:snapToGrid/>
        <w:spacing w:line="560" w:lineRule="exact"/>
        <w:ind w:firstLine="472" w:firstLineChars="200"/>
        <w:textAlignment w:val="auto"/>
        <w:outlineLvl w:val="1"/>
        <w:rPr>
          <w:rFonts w:hint="eastAsia" w:ascii="仿宋_GB2312" w:hAnsi="仿宋_GB2312" w:eastAsia="仿宋_GB2312" w:cs="仿宋_GB2312"/>
          <w:color w:val="auto"/>
          <w:spacing w:val="-2"/>
          <w:sz w:val="24"/>
          <w:szCs w:val="24"/>
        </w:rPr>
        <w:sectPr>
          <w:footerReference r:id="rId3" w:type="default"/>
          <w:pgSz w:w="11905" w:h="16838"/>
          <w:pgMar w:top="1531" w:right="1417" w:bottom="1531" w:left="1701" w:header="851" w:footer="992" w:gutter="283"/>
          <w:pgNumType w:fmt="numberInDash" w:start="1"/>
          <w:cols w:space="0" w:num="1"/>
          <w:rtlGutter w:val="0"/>
          <w:docGrid w:type="lines" w:linePitch="320" w:charSpace="0"/>
        </w:sect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仿宋_GB2312" w:hAnsi="仿宋_GB2312" w:eastAsia="仿宋_GB2312" w:cs="仿宋_GB2312"/>
          <w:color w:val="auto"/>
          <w:spacing w:val="-2"/>
          <w:sz w:val="24"/>
          <w:szCs w:val="24"/>
        </w:rPr>
      </w:pP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outlineLvl w:val="1"/>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“十四五”时期是我国全面建成小康社会、实现第一个百年奋斗目标之后，乘势而上开启全面建设社会主义现代化国家新征程、向第二个百年奋斗目标进军的第一个五年；也是开启</w:t>
      </w:r>
      <w:r>
        <w:rPr>
          <w:rFonts w:hint="eastAsia" w:ascii="仿宋_GB2312" w:hAnsi="仿宋_GB2312" w:eastAsia="仿宋_GB2312" w:cs="仿宋_GB2312"/>
          <w:color w:val="auto"/>
          <w:spacing w:val="-2"/>
          <w:sz w:val="32"/>
          <w:szCs w:val="32"/>
          <w:lang w:eastAsia="zh-CN"/>
        </w:rPr>
        <w:t>新时代</w:t>
      </w:r>
      <w:r>
        <w:rPr>
          <w:rFonts w:hint="eastAsia" w:ascii="仿宋_GB2312" w:hAnsi="仿宋_GB2312" w:eastAsia="仿宋_GB2312" w:cs="仿宋_GB2312"/>
          <w:color w:val="auto"/>
          <w:spacing w:val="-2"/>
          <w:sz w:val="32"/>
          <w:szCs w:val="32"/>
        </w:rPr>
        <w:t>美丽幸福绩溪建设新征程，奋力谱写“两个更大”绩溪篇章的关键五年。绩溪县国民经济和社会发展第十四个五年规划和</w:t>
      </w:r>
      <w:r>
        <w:rPr>
          <w:rFonts w:hint="eastAsia" w:ascii="仿宋_GB2312" w:hAnsi="仿宋_GB2312" w:eastAsia="仿宋_GB2312" w:cs="仿宋_GB2312"/>
          <w:color w:val="auto"/>
          <w:spacing w:val="-2"/>
          <w:sz w:val="32"/>
          <w:szCs w:val="32"/>
          <w:lang w:eastAsia="zh-CN"/>
        </w:rPr>
        <w:t>2035年远景目标纲要</w:t>
      </w:r>
      <w:r>
        <w:rPr>
          <w:rFonts w:hint="eastAsia" w:ascii="仿宋_GB2312" w:hAnsi="仿宋_GB2312" w:eastAsia="仿宋_GB2312" w:cs="仿宋_GB2312"/>
          <w:color w:val="auto"/>
          <w:spacing w:val="-2"/>
          <w:sz w:val="32"/>
          <w:szCs w:val="32"/>
        </w:rPr>
        <w:t>，根据党的十九届五中全会精神和《中共绩溪县委关于制定国民经济和社会发展第十四个五年规划和二〇三五年远景目标的建议》编制，主要明确“十四五”时期绩溪经济社会发展指导思想、基本原则、发展目标、主要任务和政策举措，远景目标和重大事项展望到</w:t>
      </w:r>
      <w:r>
        <w:rPr>
          <w:rFonts w:hint="eastAsia" w:ascii="仿宋_GB2312" w:hAnsi="仿宋_GB2312" w:eastAsia="仿宋_GB2312" w:cs="仿宋_GB2312"/>
          <w:color w:val="auto"/>
          <w:spacing w:val="-2"/>
          <w:sz w:val="32"/>
          <w:szCs w:val="32"/>
          <w:lang w:val="en-US" w:eastAsia="zh-CN"/>
        </w:rPr>
        <w:t>2035</w:t>
      </w:r>
      <w:r>
        <w:rPr>
          <w:rFonts w:hint="eastAsia" w:ascii="仿宋_GB2312" w:hAnsi="仿宋_GB2312" w:eastAsia="仿宋_GB2312" w:cs="仿宋_GB2312"/>
          <w:color w:val="auto"/>
          <w:spacing w:val="-2"/>
          <w:sz w:val="32"/>
          <w:szCs w:val="32"/>
        </w:rPr>
        <w:t>年，是引导市场主体行为，指导政府依法履行职责的重要依据，是未来五到十五年全县人民共同奋斗的行动纲领和科学指南。</w:t>
      </w:r>
    </w:p>
    <w:p>
      <w:pPr>
        <w:pStyle w:val="2"/>
        <w:keepNext w:val="0"/>
        <w:keepLines w:val="0"/>
        <w:pageBreakBefore w:val="0"/>
        <w:widowControl w:val="0"/>
        <w:kinsoku/>
        <w:wordWrap/>
        <w:overflowPunct/>
        <w:topLinePunct w:val="0"/>
        <w:autoSpaceDE w:val="0"/>
        <w:autoSpaceDN w:val="0"/>
        <w:bidi w:val="0"/>
        <w:adjustRightInd w:val="0"/>
        <w:snapToGrid/>
        <w:spacing w:line="300" w:lineRule="exact"/>
        <w:ind w:left="119"/>
        <w:textAlignment w:val="auto"/>
        <w:outlineLvl w:val="1"/>
        <w:rPr>
          <w:rFonts w:hint="eastAsia" w:ascii="仿宋_GB2312" w:hAnsi="仿宋_GB2312" w:eastAsia="仿宋_GB2312" w:cs="仿宋_GB2312"/>
          <w:color w:val="auto"/>
          <w:spacing w:val="-2"/>
          <w:sz w:val="32"/>
          <w:szCs w:val="32"/>
        </w:rPr>
      </w:pPr>
    </w:p>
    <w:p>
      <w:pPr>
        <w:pStyle w:val="11"/>
        <w:keepNext w:val="0"/>
        <w:keepLines w:val="0"/>
        <w:pageBreakBefore w:val="0"/>
        <w:widowControl/>
        <w:tabs>
          <w:tab w:val="right" w:leader="dot" w:pos="8617"/>
        </w:tabs>
        <w:kinsoku/>
        <w:wordWrap/>
        <w:overflowPunct/>
        <w:topLinePunct w:val="0"/>
        <w:autoSpaceDE/>
        <w:autoSpaceDN/>
        <w:bidi w:val="0"/>
        <w:adjustRightInd/>
        <w:snapToGrid/>
        <w:spacing w:after="0" w:line="240" w:lineRule="exact"/>
        <w:textAlignment w:val="auto"/>
        <w:outlineLvl w:val="1"/>
        <w:rPr>
          <w:rFonts w:hint="eastAsia" w:ascii="楷体_GB2312" w:hAnsi="楷体_GB2312" w:eastAsia="楷体_GB2312" w:cs="楷体_GB2312"/>
          <w:color w:val="auto"/>
          <w:spacing w:val="-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54" w:name="_Toc28325"/>
      <w:bookmarkStart w:id="55" w:name="_Toc8756"/>
      <w:bookmarkStart w:id="56" w:name="_Toc11086_WPSOffice_Level1"/>
      <w:r>
        <w:rPr>
          <w:rFonts w:hint="eastAsia" w:ascii="方正小标宋简体" w:hAnsi="方正小标宋简体" w:eastAsia="方正小标宋简体" w:cs="方正小标宋简体"/>
          <w:b w:val="0"/>
          <w:bCs w:val="0"/>
          <w:color w:val="auto"/>
          <w:sz w:val="36"/>
          <w:szCs w:val="36"/>
          <w:lang w:eastAsia="zh-CN"/>
        </w:rPr>
        <w:t>第一章</w:t>
      </w:r>
      <w:r>
        <w:rPr>
          <w:rFonts w:hint="eastAsia" w:ascii="方正小标宋简体" w:hAnsi="方正小标宋简体" w:eastAsia="方正小标宋简体" w:cs="方正小标宋简体"/>
          <w:b w:val="0"/>
          <w:bCs w:val="0"/>
          <w:color w:val="auto"/>
          <w:sz w:val="36"/>
          <w:szCs w:val="36"/>
          <w:lang w:val="en-US" w:eastAsia="zh-CN"/>
        </w:rPr>
        <w:t xml:space="preserve">  </w:t>
      </w:r>
      <w:r>
        <w:rPr>
          <w:rFonts w:hint="eastAsia" w:ascii="方正小标宋简体" w:hAnsi="方正小标宋简体" w:eastAsia="方正小标宋简体" w:cs="方正小标宋简体"/>
          <w:b w:val="0"/>
          <w:bCs w:val="0"/>
          <w:color w:val="auto"/>
          <w:sz w:val="36"/>
          <w:szCs w:val="36"/>
        </w:rPr>
        <w:t>全面建成小康社会，开启</w:t>
      </w:r>
      <w:bookmarkEnd w:id="54"/>
      <w:bookmarkEnd w:id="55"/>
      <w:bookmarkEnd w:id="56"/>
      <w:r>
        <w:rPr>
          <w:rFonts w:hint="eastAsia" w:ascii="方正小标宋简体" w:hAnsi="方正小标宋简体" w:eastAsia="方正小标宋简体" w:cs="方正小标宋简体"/>
          <w:b w:val="0"/>
          <w:bCs w:val="0"/>
          <w:color w:val="auto"/>
          <w:sz w:val="36"/>
          <w:szCs w:val="36"/>
          <w:lang w:eastAsia="zh-CN"/>
        </w:rPr>
        <w:t>新时代</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jc w:val="center"/>
        <w:textAlignment w:val="auto"/>
        <w:outlineLvl w:val="1"/>
        <w:rPr>
          <w:rFonts w:hint="eastAsia" w:ascii="方正小标宋简体" w:hAnsi="方正小标宋简体" w:eastAsia="方正小标宋简体" w:cs="方正小标宋简体"/>
          <w:b w:val="0"/>
          <w:bCs w:val="0"/>
          <w:snapToGrid w:val="0"/>
          <w:color w:val="auto"/>
          <w:kern w:val="0"/>
          <w:sz w:val="36"/>
          <w:szCs w:val="36"/>
        </w:rPr>
      </w:pPr>
      <w:bookmarkStart w:id="57" w:name="_Toc10932"/>
      <w:bookmarkStart w:id="58" w:name="_Toc6482_WPSOffice_Level2"/>
      <w:bookmarkStart w:id="59" w:name="_Toc16715_WPSOffice_Level2"/>
      <w:bookmarkStart w:id="60" w:name="_Toc10153_WPSOffice_Level2"/>
      <w:bookmarkStart w:id="61" w:name="_Toc1447_WPSOffice_Level2"/>
      <w:bookmarkStart w:id="62" w:name="_Toc19300_WPSOffice_Level2"/>
      <w:bookmarkStart w:id="63" w:name="_Toc1228_WPSOffice_Level2"/>
      <w:bookmarkStart w:id="64" w:name="_Toc3266"/>
      <w:bookmarkStart w:id="65" w:name="_Toc14896_WPSOffice_Level2"/>
      <w:bookmarkStart w:id="66" w:name="_Toc26097_WPSOffice_Level2"/>
      <w:bookmarkStart w:id="67" w:name="_Toc14899_WPSOffice_Level2"/>
      <w:r>
        <w:rPr>
          <w:rFonts w:hint="eastAsia" w:ascii="方正小标宋简体" w:hAnsi="方正小标宋简体" w:eastAsia="方正小标宋简体" w:cs="方正小标宋简体"/>
          <w:b w:val="0"/>
          <w:bCs w:val="0"/>
          <w:color w:val="auto"/>
          <w:sz w:val="36"/>
          <w:szCs w:val="36"/>
        </w:rPr>
        <w:t>美丽幸福绩溪建设新征程</w:t>
      </w:r>
      <w:bookmarkEnd w:id="57"/>
      <w:bookmarkEnd w:id="58"/>
      <w:bookmarkEnd w:id="59"/>
      <w:bookmarkEnd w:id="60"/>
      <w:bookmarkEnd w:id="61"/>
      <w:bookmarkEnd w:id="62"/>
      <w:bookmarkEnd w:id="63"/>
      <w:bookmarkEnd w:id="64"/>
      <w:bookmarkEnd w:id="65"/>
      <w:bookmarkEnd w:id="66"/>
      <w:bookmarkEnd w:id="67"/>
    </w:p>
    <w:p>
      <w:pPr>
        <w:pStyle w:val="4"/>
        <w:keepNext/>
        <w:keepLines/>
        <w:pageBreakBefore w:val="0"/>
        <w:widowControl w:val="0"/>
        <w:kinsoku/>
        <w:wordWrap/>
        <w:overflowPunct/>
        <w:topLinePunct w:val="0"/>
        <w:autoSpaceDE/>
        <w:autoSpaceDN/>
        <w:bidi w:val="0"/>
        <w:adjustRightInd/>
        <w:snapToGrid/>
        <w:spacing w:before="0" w:after="0" w:line="400" w:lineRule="exact"/>
        <w:jc w:val="center"/>
        <w:textAlignment w:val="auto"/>
        <w:outlineLvl w:val="1"/>
        <w:rPr>
          <w:rFonts w:hint="eastAsia" w:ascii="仿宋_GB2312" w:hAnsi="楷体" w:eastAsia="仿宋_GB2312"/>
          <w:color w:val="auto"/>
          <w:szCs w:val="30"/>
        </w:rPr>
      </w:pPr>
      <w:bookmarkStart w:id="68" w:name="_Toc25954"/>
    </w:p>
    <w:p>
      <w:pPr>
        <w:pStyle w:val="4"/>
        <w:keepNext/>
        <w:keepLines/>
        <w:pageBreakBefore w:val="0"/>
        <w:widowControl w:val="0"/>
        <w:kinsoku/>
        <w:wordWrap/>
        <w:overflowPunct/>
        <w:topLinePunct w:val="0"/>
        <w:autoSpaceDE/>
        <w:autoSpaceDN/>
        <w:bidi w:val="0"/>
        <w:adjustRightInd/>
        <w:snapToGrid/>
        <w:spacing w:before="0" w:after="160" w:afterLines="50" w:line="240" w:lineRule="auto"/>
        <w:jc w:val="center"/>
        <w:textAlignment w:val="auto"/>
        <w:outlineLvl w:val="1"/>
        <w:rPr>
          <w:rFonts w:ascii="仿宋_GB2312" w:hAnsi="楷体" w:eastAsia="仿宋_GB2312"/>
          <w:color w:val="auto"/>
          <w:szCs w:val="30"/>
        </w:rPr>
      </w:pPr>
      <w:bookmarkStart w:id="69" w:name="_Toc25767"/>
      <w:bookmarkStart w:id="70" w:name="_Toc11045"/>
      <w:bookmarkStart w:id="71" w:name="_Toc9137_WPSOffice_Level2"/>
      <w:r>
        <w:rPr>
          <w:rFonts w:hint="eastAsia" w:ascii="仿宋_GB2312" w:hAnsi="楷体" w:eastAsia="仿宋_GB2312"/>
          <w:color w:val="auto"/>
          <w:szCs w:val="30"/>
        </w:rPr>
        <w:t>第一节　发展基础</w:t>
      </w:r>
      <w:bookmarkEnd w:id="68"/>
      <w:bookmarkEnd w:id="69"/>
      <w:bookmarkEnd w:id="70"/>
      <w:bookmarkEnd w:id="71"/>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1"/>
        <w:rPr>
          <w:rFonts w:hint="eastAsia" w:ascii="仿宋_GB2312" w:hAnsi="仿宋_GB2312" w:eastAsia="仿宋_GB2312" w:cs="仿宋_GB2312"/>
          <w:color w:val="auto"/>
          <w:sz w:val="32"/>
          <w:szCs w:val="32"/>
        </w:rPr>
      </w:pPr>
      <w:r>
        <w:rPr>
          <w:rFonts w:ascii="楷体_GB2312" w:hAnsi="楷体_GB2312" w:eastAsia="楷体_GB2312" w:cs="楷体_GB2312"/>
          <w:b/>
          <w:bCs/>
          <w:color w:val="auto"/>
          <w:sz w:val="32"/>
          <w:szCs w:val="32"/>
        </w:rPr>
        <mc:AlternateContent>
          <mc:Choice Requires="wps">
            <w:drawing>
              <wp:anchor distT="0" distB="0" distL="114300" distR="114300" simplePos="0" relativeHeight="251659264" behindDoc="0" locked="0" layoutInCell="1" allowOverlap="1">
                <wp:simplePos x="0" y="0"/>
                <wp:positionH relativeFrom="page">
                  <wp:posOffset>3686175</wp:posOffset>
                </wp:positionH>
                <wp:positionV relativeFrom="paragraph">
                  <wp:posOffset>2799080</wp:posOffset>
                </wp:positionV>
                <wp:extent cx="95885" cy="156845"/>
                <wp:effectExtent l="0" t="0" r="0" b="0"/>
                <wp:wrapNone/>
                <wp:docPr id="1026" name="文本框 4"/>
                <wp:cNvGraphicFramePr/>
                <a:graphic xmlns:a="http://schemas.openxmlformats.org/drawingml/2006/main">
                  <a:graphicData uri="http://schemas.microsoft.com/office/word/2010/wordprocessingShape">
                    <wps:wsp>
                      <wps:cNvSpPr/>
                      <wps:spPr>
                        <a:xfrm>
                          <a:off x="0" y="0"/>
                          <a:ext cx="95884" cy="156845"/>
                        </a:xfrm>
                        <a:prstGeom prst="rect">
                          <a:avLst/>
                        </a:prstGeom>
                        <a:noFill/>
                        <a:ln>
                          <a:noFill/>
                        </a:ln>
                        <a:effectLst/>
                      </wps:spPr>
                      <wps:txbx>
                        <w:txbxContent>
                          <w:p>
                            <w:pPr>
                              <w:spacing w:line="180" w:lineRule="auto"/>
                              <w:ind w:left="20"/>
                              <w:rPr>
                                <w:sz w:val="11"/>
                              </w:rPr>
                            </w:pPr>
                            <w:r>
                              <w:rPr>
                                <w:rFonts w:hint="eastAsia"/>
                                <w:color w:val="525252"/>
                                <w:sz w:val="11"/>
                              </w:rPr>
                              <w:t>“3</w:t>
                            </w:r>
                          </w:p>
                        </w:txbxContent>
                      </wps:txbx>
                      <wps:bodyPr vert="eaVert" lIns="0" tIns="0" rIns="0" bIns="0" upright="1"/>
                    </wps:wsp>
                  </a:graphicData>
                </a:graphic>
              </wp:anchor>
            </w:drawing>
          </mc:Choice>
          <mc:Fallback>
            <w:pict>
              <v:rect id="文本框 4" o:spid="_x0000_s1026" o:spt="1" style="position:absolute;left:0pt;margin-left:290.25pt;margin-top:220.4pt;height:12.35pt;width:7.55pt;mso-position-horizontal-relative:page;z-index:251659264;mso-width-relative:page;mso-height-relative:page;" filled="f" stroked="f" coordsize="21600,21600" o:gfxdata="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I/wtK2gAAAAsB&#10;AAAPAAAAAAAAAAEAIAAAACIAAABkcnMvZG93bnJldi54bWxQSwECFAAUAAAACACHTuJAd25JFKcB&#10;AAA3AwAADgAAAAAAAAABACAAAAApAQAAZHJzL2Uyb0RvYy54bWxQSwUGAAAAAAYABgBZAQAAQgUA&#10;AAAA&#10;">
                <v:fill on="f" focussize="0,0"/>
                <v:stroke on="f"/>
                <v:imagedata o:title=""/>
                <o:lock v:ext="edit" aspectratio="f"/>
                <v:textbox inset="0mm,0mm,0mm,0mm" style="layout-flow:vertical-ideographic;">
                  <w:txbxContent>
                    <w:p>
                      <w:pPr>
                        <w:spacing w:line="180" w:lineRule="auto"/>
                        <w:ind w:left="20"/>
                        <w:rPr>
                          <w:sz w:val="11"/>
                        </w:rPr>
                      </w:pPr>
                      <w:r>
                        <w:rPr>
                          <w:rFonts w:hint="eastAsia"/>
                          <w:color w:val="525252"/>
                          <w:sz w:val="11"/>
                        </w:rPr>
                        <w:t>“3</w:t>
                      </w:r>
                    </w:p>
                  </w:txbxContent>
                </v:textbox>
              </v:rect>
            </w:pict>
          </mc:Fallback>
        </mc:AlternateContent>
      </w:r>
      <w:r>
        <w:rPr>
          <w:rFonts w:hint="eastAsia" w:ascii="仿宋_GB2312" w:hAnsi="仿宋_GB2312" w:eastAsia="仿宋_GB2312" w:cs="仿宋_GB2312"/>
          <w:color w:val="auto"/>
          <w:sz w:val="32"/>
          <w:szCs w:val="32"/>
        </w:rPr>
        <w:t>“十三五”时期是全面建成小康社会决胜、脱贫攻坚决战阶段。面对错综复杂的国际形势、艰巨繁重的改革发展稳定任务，特别是新冠肺炎疫情的严重冲击，全县上下坚持以习近平新时代中国特色社会主义思想为指导，坚定不移地贯彻新发展理念，坚持以供给侧结构性改革为主线，着力“对标沪苏浙、争当排头兵”，发扬“三争”精神，扎实做好稳增长、促改革、调结构、惠民生、防风险、保稳定各项工作，大力实施经济发展“双百”工程和乡村振兴“五百”工程，奋力推进全县经济社会高质量发展。</w:t>
      </w:r>
      <w:r>
        <w:rPr>
          <w:rFonts w:hint="eastAsia" w:ascii="仿宋_GB2312" w:hAnsi="仿宋_GB2312" w:eastAsia="仿宋_GB2312" w:cs="仿宋_GB2312"/>
          <w:b/>
          <w:bCs/>
          <w:color w:val="auto"/>
          <w:sz w:val="32"/>
          <w:szCs w:val="32"/>
        </w:rPr>
        <w:t>综合实力持续增强，</w:t>
      </w:r>
      <w:r>
        <w:rPr>
          <w:rFonts w:hint="eastAsia" w:ascii="仿宋_GB2312" w:hAnsi="仿宋_GB2312" w:eastAsia="仿宋_GB2312" w:cs="仿宋_GB2312"/>
          <w:color w:val="auto"/>
          <w:sz w:val="32"/>
          <w:szCs w:val="32"/>
        </w:rPr>
        <w:t>2020年地区生产总值由2015年的56.1亿元增加到</w:t>
      </w:r>
      <w:r>
        <w:rPr>
          <w:rFonts w:hint="eastAsia" w:ascii="仿宋_GB2312" w:hAnsi="仿宋_GB2312" w:eastAsia="仿宋_GB2312" w:cs="仿宋_GB2312"/>
          <w:color w:val="auto"/>
          <w:sz w:val="32"/>
          <w:szCs w:val="32"/>
          <w:lang w:val="en-US" w:eastAsia="zh-CN"/>
        </w:rPr>
        <w:t>88.3</w:t>
      </w:r>
      <w:r>
        <w:rPr>
          <w:rFonts w:hint="eastAsia" w:ascii="仿宋_GB2312" w:hAnsi="仿宋_GB2312" w:eastAsia="仿宋_GB2312" w:cs="仿宋_GB2312"/>
          <w:color w:val="auto"/>
          <w:sz w:val="32"/>
          <w:szCs w:val="32"/>
        </w:rPr>
        <w:t>亿元，人均地区生产总值超过52000元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rPr>
        <w:t>创新驱动持续发力，</w:t>
      </w:r>
      <w:r>
        <w:rPr>
          <w:rFonts w:hint="eastAsia" w:ascii="仿宋_GB2312" w:hAnsi="仿宋_GB2312" w:eastAsia="仿宋_GB2312" w:cs="仿宋_GB2312"/>
          <w:color w:val="auto"/>
          <w:sz w:val="32"/>
          <w:szCs w:val="32"/>
        </w:rPr>
        <w:t>规上工业企业研发机构覆盖率达40%，省级以上技术研发平台增加至14个，每万人口发明专利累计拥有量由2015年的2.9件提高至13.8件，战略性新兴产业产值占规模工业产值比重由2015年的33.5%提高至5</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%以上，入选国家知识产权强县工程（传统知识类）试点县。</w:t>
      </w:r>
      <w:r>
        <w:rPr>
          <w:rFonts w:hint="eastAsia" w:ascii="仿宋_GB2312" w:hAnsi="仿宋_GB2312" w:eastAsia="仿宋_GB2312" w:cs="仿宋_GB2312"/>
          <w:b/>
          <w:bCs/>
          <w:color w:val="auto"/>
          <w:sz w:val="32"/>
          <w:szCs w:val="32"/>
        </w:rPr>
        <w:t>产业转型持续提速，</w:t>
      </w:r>
      <w:r>
        <w:rPr>
          <w:rFonts w:hint="eastAsia" w:ascii="仿宋_GB2312" w:hAnsi="仿宋_GB2312" w:eastAsia="仿宋_GB2312" w:cs="仿宋_GB2312"/>
          <w:color w:val="auto"/>
          <w:sz w:val="32"/>
          <w:szCs w:val="32"/>
        </w:rPr>
        <w:t>获批高端机械零部件产业省级县域特色产业集群（基地）和省级电子商务集聚示范区；绿色食品产业园获评省级农业科技园区，跻身国家全域旅游示范区首批创建单位，入选中国最美生态文化旅游名县、中国最美休闲旅游目的地，蝉联中国最美县域榜；建成各类农产品生产基地45万亩，创成全国绿色食品原料（茶叶）标准化生产基地。</w:t>
      </w:r>
      <w:r>
        <w:rPr>
          <w:rFonts w:hint="eastAsia" w:ascii="仿宋_GB2312" w:hAnsi="仿宋_GB2312" w:eastAsia="仿宋_GB2312" w:cs="仿宋_GB2312"/>
          <w:b/>
          <w:bCs/>
          <w:color w:val="auto"/>
          <w:sz w:val="32"/>
          <w:szCs w:val="32"/>
        </w:rPr>
        <w:t>城乡品质持续提升，</w:t>
      </w:r>
      <w:r>
        <w:rPr>
          <w:rFonts w:hint="eastAsia" w:ascii="仿宋_GB2312" w:hAnsi="仿宋_GB2312" w:eastAsia="仿宋_GB2312" w:cs="仿宋_GB2312"/>
          <w:color w:val="auto"/>
          <w:sz w:val="32"/>
          <w:szCs w:val="32"/>
        </w:rPr>
        <w:t>成功创建国家卫生县城、省级文明示范县,智慧城管平台投入运行，上庄雕刻时光小镇、伏岭</w:t>
      </w:r>
      <w:r>
        <w:rPr>
          <w:rFonts w:hint="eastAsia" w:ascii="仿宋_GB2312" w:hAnsi="仿宋_GB2312" w:eastAsia="仿宋_GB2312" w:cs="仿宋_GB2312"/>
          <w:color w:val="auto"/>
          <w:sz w:val="32"/>
          <w:szCs w:val="32"/>
          <w:lang w:eastAsia="zh-CN"/>
        </w:rPr>
        <w:t>徽州味·道</w:t>
      </w:r>
      <w:r>
        <w:rPr>
          <w:rFonts w:hint="eastAsia" w:ascii="仿宋_GB2312" w:hAnsi="仿宋_GB2312" w:eastAsia="仿宋_GB2312" w:cs="仿宋_GB2312"/>
          <w:color w:val="auto"/>
          <w:sz w:val="32"/>
          <w:szCs w:val="32"/>
        </w:rPr>
        <w:t>小镇列入省级特色小镇，完成12个美丽乡村示范村、5个重点示范村创建，农村人居环境整治“三大革命”持续推进，实现村（社区）“生态美超市”全覆盖。</w:t>
      </w:r>
      <w:r>
        <w:rPr>
          <w:rFonts w:hint="eastAsia" w:ascii="仿宋_GB2312" w:hAnsi="仿宋_GB2312" w:eastAsia="仿宋_GB2312" w:cs="仿宋_GB2312"/>
          <w:color w:val="auto"/>
          <w:sz w:val="32"/>
          <w:szCs w:val="32"/>
          <w:lang w:val="en-US" w:eastAsia="zh-CN"/>
        </w:rPr>
        <w:t>京福高铁、杭黄高铁建成运营，S456绩谭公路绩溪段建成通车，</w:t>
      </w:r>
      <w:r>
        <w:rPr>
          <w:rFonts w:hint="eastAsia" w:ascii="仿宋_GB2312" w:hAnsi="仿宋_GB2312" w:eastAsia="仿宋_GB2312" w:cs="仿宋_GB2312"/>
          <w:color w:val="auto"/>
          <w:sz w:val="32"/>
          <w:szCs w:val="32"/>
        </w:rPr>
        <w:t>综合客运枢纽</w:t>
      </w:r>
      <w:r>
        <w:rPr>
          <w:rFonts w:hint="eastAsia" w:ascii="仿宋_GB2312" w:hAnsi="仿宋_GB2312" w:eastAsia="仿宋_GB2312" w:cs="仿宋_GB2312"/>
          <w:color w:val="auto"/>
          <w:sz w:val="32"/>
          <w:szCs w:val="32"/>
          <w:lang w:val="en-US" w:eastAsia="zh-CN"/>
        </w:rPr>
        <w:t>投入使用</w:t>
      </w:r>
      <w:r>
        <w:rPr>
          <w:rFonts w:hint="eastAsia" w:ascii="仿宋_GB2312" w:hAnsi="仿宋_GB2312" w:eastAsia="仿宋_GB2312" w:cs="仿宋_GB2312"/>
          <w:color w:val="auto"/>
          <w:sz w:val="32"/>
          <w:szCs w:val="32"/>
        </w:rPr>
        <w:t>，皖东南交通枢纽地位开始显现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抽水蓄能电站六台机组全部并网发电，扬溪源水库主体大坝封顶，宁国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黄山天然气管道支线绩溪段建设稳步推进。</w:t>
      </w:r>
      <w:r>
        <w:rPr>
          <w:rFonts w:hint="eastAsia" w:ascii="仿宋_GB2312" w:hAnsi="仿宋_GB2312" w:eastAsia="仿宋_GB2312" w:cs="仿宋_GB2312"/>
          <w:color w:val="auto"/>
          <w:sz w:val="32"/>
          <w:szCs w:val="32"/>
          <w:lang w:val="en-US" w:eastAsia="zh-CN"/>
        </w:rPr>
        <w:t>徽山大道、龙川大道、西环线、会山路、祥云路、鄣山路、扬之南路、锦屏路、清凉峰路等城市道路融汇贯通，城市路网明显改善。</w:t>
      </w:r>
      <w:r>
        <w:rPr>
          <w:rFonts w:hint="eastAsia" w:ascii="仿宋_GB2312" w:hAnsi="仿宋_GB2312" w:eastAsia="仿宋_GB2312" w:cs="仿宋_GB2312"/>
          <w:b/>
          <w:bCs/>
          <w:color w:val="auto"/>
          <w:sz w:val="32"/>
          <w:szCs w:val="32"/>
        </w:rPr>
        <w:t>生态优势持续彰显，</w:t>
      </w:r>
      <w:r>
        <w:rPr>
          <w:rFonts w:hint="eastAsia" w:ascii="仿宋_GB2312" w:hAnsi="仿宋_GB2312" w:eastAsia="仿宋_GB2312" w:cs="仿宋_GB2312"/>
          <w:b w:val="0"/>
          <w:bCs w:val="0"/>
          <w:color w:val="auto"/>
          <w:sz w:val="32"/>
          <w:szCs w:val="32"/>
          <w:lang w:val="en-US" w:eastAsia="zh-CN"/>
        </w:rPr>
        <w:t>生态修复治理“五大行动”成效显著，</w:t>
      </w:r>
      <w:r>
        <w:rPr>
          <w:rFonts w:hint="eastAsia" w:ascii="仿宋_GB2312" w:hAnsi="仿宋_GB2312" w:eastAsia="仿宋_GB2312" w:cs="仿宋_GB2312"/>
          <w:color w:val="auto"/>
          <w:sz w:val="32"/>
          <w:szCs w:val="32"/>
        </w:rPr>
        <w:t>主要生态环境质量指标保持全省前列，成功创建首批国家生态文明建设示范县、中国天然氧吧，被列为全省林长制改革示范区先行区。</w:t>
      </w:r>
      <w:r>
        <w:rPr>
          <w:rFonts w:hint="eastAsia" w:ascii="仿宋_GB2312" w:hAnsi="仿宋_GB2312" w:eastAsia="仿宋_GB2312" w:cs="仿宋_GB2312"/>
          <w:b/>
          <w:bCs/>
          <w:color w:val="auto"/>
          <w:sz w:val="32"/>
          <w:szCs w:val="32"/>
        </w:rPr>
        <w:t>改革开放持续深化，</w:t>
      </w:r>
      <w:r>
        <w:rPr>
          <w:rFonts w:hint="eastAsia" w:ascii="仿宋_GB2312" w:hAnsi="仿宋_GB2312" w:eastAsia="仿宋_GB2312" w:cs="仿宋_GB2312"/>
          <w:color w:val="auto"/>
          <w:sz w:val="32"/>
          <w:szCs w:val="32"/>
        </w:rPr>
        <w:t>全面完成县级党政机构改革，在全省设立首家营商环境建设局。稳步推进五大领域综合行政执法改革。生产经营性事业</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改革全面完成，11个乡镇深化机构改革基本完成。国投、城投、旅投三大国有公司完成实体化转型，农村集体产权制度改革全面完成；与杭州市临安区签定一体化发展合作框架协议，开通皖浙首条跨省农村公交路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荆州乡-昌化镇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，参与组建杭黄党建联盟；五年累计从沪苏浙地区招引项目164个，总投资253.6亿元，占全县招引项目的71.3%和73%。</w:t>
      </w:r>
      <w:r>
        <w:rPr>
          <w:rFonts w:hint="eastAsia" w:ascii="仿宋_GB2312" w:hAnsi="仿宋_GB2312" w:eastAsia="仿宋_GB2312" w:cs="仿宋_GB2312"/>
          <w:b/>
          <w:bCs/>
          <w:color w:val="auto"/>
          <w:sz w:val="32"/>
          <w:szCs w:val="32"/>
        </w:rPr>
        <w:t>民生福祉持续改善，</w:t>
      </w:r>
      <w:r>
        <w:rPr>
          <w:rFonts w:hint="eastAsia" w:ascii="仿宋_GB2312" w:hAnsi="仿宋_GB2312" w:eastAsia="仿宋_GB2312" w:cs="仿宋_GB2312"/>
          <w:color w:val="auto"/>
          <w:sz w:val="32"/>
          <w:szCs w:val="32"/>
        </w:rPr>
        <w:t>城乡居民收入稳步提高，省定民生工程顺利推进，城乡低保标准逐年提高，城镇新增就业1.7万人。脱贫攻坚战圆满收官，现行标准下农村贫困人口全面脱贫，贫困村全部出列。教育、卫生、文化事业取得长足发展，成功创建全国义务教育基本均衡县，县域紧密型医共体、医联体建设深入推进，入选首届中国文化百强县、中华诗词之乡；有效应对新冠肺炎疫情、重大自然灾害，平安绩溪建设不断深化，“七五”普法全面实施，“扫黑除恶”“铸安行动”深入开展，社会保持和谐稳定。</w:t>
      </w:r>
      <w:r>
        <w:rPr>
          <w:rFonts w:hint="eastAsia" w:ascii="仿宋_GB2312" w:hAnsi="仿宋_GB2312" w:eastAsia="仿宋_GB2312" w:cs="仿宋_GB2312"/>
          <w:b/>
          <w:bCs/>
          <w:color w:val="auto"/>
          <w:sz w:val="32"/>
          <w:szCs w:val="32"/>
        </w:rPr>
        <w:t>党的建设持续加强，</w:t>
      </w:r>
      <w:r>
        <w:rPr>
          <w:rFonts w:hint="eastAsia" w:ascii="仿宋_GB2312" w:hAnsi="仿宋_GB2312" w:eastAsia="仿宋_GB2312" w:cs="仿宋_GB2312"/>
          <w:color w:val="auto"/>
          <w:sz w:val="32"/>
          <w:szCs w:val="32"/>
        </w:rPr>
        <w:t>认真贯彻落实新时代党的建设总要求和党的组织路线，扎实开展“不忘初心、牢记使命”等党内主题教育，着力构建风清气正的政治生态，以高质量党建引领经济社会高质量发展，涌现出“全国优秀共产党员”“时代楷模”李夏这样的优秀乡镇干部典型。全县人民砥砺奋进、真抓实干，“十三五”规划目标任务如期完成，全面建成小康社会取得圆满胜利，为实现第一个百年奋斗目标，开启</w:t>
      </w:r>
      <w:r>
        <w:rPr>
          <w:rFonts w:hint="eastAsia" w:ascii="仿宋_GB2312" w:hAnsi="仿宋_GB2312" w:eastAsia="仿宋_GB2312" w:cs="仿宋_GB2312"/>
          <w:color w:val="auto"/>
          <w:sz w:val="32"/>
          <w:szCs w:val="32"/>
          <w:lang w:eastAsia="zh-CN"/>
        </w:rPr>
        <w:t>新时代</w:t>
      </w:r>
      <w:r>
        <w:rPr>
          <w:rFonts w:hint="eastAsia" w:ascii="仿宋_GB2312" w:hAnsi="仿宋_GB2312" w:eastAsia="仿宋_GB2312" w:cs="仿宋_GB2312"/>
          <w:color w:val="auto"/>
          <w:sz w:val="32"/>
          <w:szCs w:val="32"/>
        </w:rPr>
        <w:t>美丽幸福绩溪建设新征程奠定坚实基础。</w:t>
      </w:r>
    </w:p>
    <w:p>
      <w:pPr>
        <w:autoSpaceDE w:val="0"/>
        <w:autoSpaceDN w:val="0"/>
        <w:adjustRightInd w:val="0"/>
        <w:jc w:val="center"/>
        <w:outlineLvl w:val="1"/>
        <w:rPr>
          <w:rFonts w:ascii="仿宋" w:hAnsi="仿宋" w:eastAsia="仿宋"/>
          <w:b/>
          <w:color w:val="auto"/>
          <w:sz w:val="32"/>
          <w:szCs w:val="32"/>
        </w:rPr>
      </w:pPr>
      <w:r>
        <w:rPr>
          <w:rFonts w:hint="eastAsia" w:ascii="仿宋" w:hAnsi="仿宋" w:eastAsia="仿宋"/>
          <w:b/>
          <w:color w:val="auto"/>
          <w:sz w:val="32"/>
          <w:szCs w:val="32"/>
        </w:rPr>
        <w:t>专栏1  绩溪县 “十三五”规划目标完成情况</w:t>
      </w:r>
    </w:p>
    <w:tbl>
      <w:tblPr>
        <w:tblStyle w:val="14"/>
        <w:tblW w:w="90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78"/>
        <w:gridCol w:w="3118"/>
        <w:gridCol w:w="907"/>
        <w:gridCol w:w="1493"/>
        <w:gridCol w:w="1438"/>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87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bookmarkStart w:id="72" w:name="_Toc991"/>
            <w:bookmarkStart w:id="73" w:name="_Toc13735"/>
            <w:r>
              <w:rPr>
                <w:rFonts w:hint="eastAsia" w:ascii="仿宋_GB2312" w:hAnsi="仿宋_GB2312" w:eastAsia="仿宋_GB2312" w:cs="仿宋_GB2312"/>
                <w:b/>
                <w:color w:val="auto"/>
                <w:sz w:val="24"/>
                <w:szCs w:val="24"/>
              </w:rPr>
              <w:t>分类</w:t>
            </w: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指 标 名 称</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单位</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“十三五”  规划目标</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“十三五”末预计值</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属性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 w:hRule="atLeast"/>
          <w:jc w:val="center"/>
        </w:trPr>
        <w:tc>
          <w:tcPr>
            <w:tcW w:w="878" w:type="dxa"/>
            <w:vMerge w:val="restart"/>
            <w:tcBorders>
              <w:top w:val="single" w:color="auto" w:sz="6" w:space="0"/>
              <w:left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经济</w:t>
            </w:r>
          </w:p>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发展</w:t>
            </w: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地区生产总值</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亿元</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84左右</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90</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财政收入</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亿元</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12以上</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2</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3"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固定资产投资年均增速</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10左右</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rPr>
              <w:t>10.2</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3"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pacing w:val="-10"/>
                <w:sz w:val="24"/>
                <w:szCs w:val="24"/>
              </w:rPr>
            </w:pPr>
            <w:r>
              <w:rPr>
                <w:rFonts w:hint="eastAsia" w:ascii="仿宋_GB2312" w:hAnsi="仿宋_GB2312" w:eastAsia="仿宋_GB2312" w:cs="仿宋_GB2312"/>
                <w:color w:val="auto"/>
                <w:spacing w:val="-10"/>
                <w:sz w:val="24"/>
                <w:szCs w:val="24"/>
              </w:rPr>
              <w:t>规模以上工业增加值年均增速</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7左右</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sz w:val="24"/>
                <w:szCs w:val="24"/>
              </w:rPr>
              <w:t>8.5</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3"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社会消费品零售总额</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亿元</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3"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旅游接待人次</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万人次</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1000</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1094</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3"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服务业增加值占地区生产总值比重</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38．94</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进出口总额</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Cs w:val="21"/>
              </w:rPr>
              <w:t>万美元</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10000</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12600</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878" w:type="dxa"/>
            <w:vMerge w:val="continue"/>
            <w:tcBorders>
              <w:left w:val="single" w:color="auto" w:sz="6" w:space="0"/>
              <w:bottom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常住人口城镇化率</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878" w:type="dxa"/>
            <w:vMerge w:val="restart"/>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创新</w:t>
            </w:r>
          </w:p>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驱动</w:t>
            </w: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研发经费支出占地区生产总值比重</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1．19</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87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b/>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高新技术企业数</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个</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87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b/>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战略性新兴产业产值占规模工业产值比重</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40以上</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lang w:val="en-US" w:eastAsia="zh-CN"/>
              </w:rPr>
              <w:t>0</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87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b/>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每万人口发明专利拥有量</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件</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13．8</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878" w:type="dxa"/>
            <w:vMerge w:val="restart"/>
            <w:tcBorders>
              <w:top w:val="single" w:color="auto" w:sz="6" w:space="0"/>
              <w:left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民生</w:t>
            </w:r>
          </w:p>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福祉</w:t>
            </w: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城镇居民人均可支配收入</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增幅高于经济发展水平</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b/>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农村居民人均可支配收入</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Cs w:val="21"/>
              </w:rPr>
              <w:t>增幅高于经济发展水平</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b/>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城镇新增就业人数</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万人</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pacing w:val="-12"/>
                <w:szCs w:val="21"/>
              </w:rPr>
            </w:pPr>
            <w:r>
              <w:rPr>
                <w:rFonts w:hint="eastAsia" w:ascii="仿宋_GB2312" w:hAnsi="仿宋_GB2312" w:eastAsia="仿宋_GB2312" w:cs="仿宋_GB2312"/>
                <w:color w:val="auto"/>
                <w:spacing w:val="-12"/>
                <w:szCs w:val="21"/>
              </w:rPr>
              <w:t>五年累计数1</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878" w:type="dxa"/>
            <w:vMerge w:val="continue"/>
            <w:tcBorders>
              <w:left w:val="single" w:color="auto" w:sz="6" w:space="0"/>
              <w:bottom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b/>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基本养老保险参保人数</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万人</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13．4</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878" w:type="dxa"/>
            <w:vMerge w:val="restart"/>
            <w:tcBorders>
              <w:top w:val="single" w:color="auto" w:sz="6" w:space="0"/>
              <w:left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生态</w:t>
            </w:r>
          </w:p>
          <w:p>
            <w:pPr>
              <w:spacing w:line="0" w:lineRule="atLeast"/>
              <w:ind w:left="-21" w:leftChars="-10" w:right="-21" w:rightChars="-10"/>
              <w:jc w:val="center"/>
              <w:outlineLvl w:val="1"/>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文明</w:t>
            </w: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耕地保有量</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Cs w:val="21"/>
              </w:rPr>
              <w:t>万公顷</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不低于1.3</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单位工业增加值用水量</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立方米</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不高于37</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单位生产总值能耗降低</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市下达</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完成市定任务</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单位生产总值二氧化碳排放降低</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市下达</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Cs w:val="21"/>
              </w:rPr>
              <w:t>完成市定任务</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森林覆盖率</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78.35左右</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Cs w:val="21"/>
              </w:rPr>
              <w:t>完成市定任务</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空气质量指数（AQI）达到优良天数占比</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92以上</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Cs w:val="21"/>
              </w:rPr>
              <w:t>完成市定任务</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水功能区水质优良比例</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98以上</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Cs w:val="21"/>
              </w:rPr>
              <w:t>完成市定任务</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878" w:type="dxa"/>
            <w:vMerge w:val="continue"/>
            <w:tcBorders>
              <w:left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化学需氧量排放量减少</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省下达</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完成省定任务</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氨氮排放量减少</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省下达</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完成省定任务</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二氧化硫排放量减少</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省下达</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完成省定任务</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约束性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878" w:type="dxa"/>
            <w:vMerge w:val="continue"/>
            <w:tcBorders>
              <w:left w:val="single" w:color="auto" w:sz="6" w:space="0"/>
              <w:right w:val="single" w:color="auto" w:sz="6" w:space="0"/>
            </w:tcBorders>
            <w:vAlign w:val="center"/>
          </w:tcPr>
          <w:p>
            <w:pPr>
              <w:widowControl/>
              <w:spacing w:line="0" w:lineRule="atLeast"/>
              <w:ind w:left="-21" w:leftChars="-10" w:right="-21" w:rightChars="-10"/>
              <w:jc w:val="left"/>
              <w:outlineLvl w:val="1"/>
              <w:rPr>
                <w:rFonts w:hint="eastAsia" w:ascii="仿宋_GB2312" w:hAnsi="仿宋_GB2312" w:eastAsia="仿宋_GB2312" w:cs="仿宋_GB2312"/>
                <w:color w:val="auto"/>
                <w:sz w:val="24"/>
                <w:szCs w:val="24"/>
              </w:rPr>
            </w:pPr>
          </w:p>
        </w:tc>
        <w:tc>
          <w:tcPr>
            <w:tcW w:w="311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氮氧化物排放量减少</w:t>
            </w:r>
          </w:p>
        </w:tc>
        <w:tc>
          <w:tcPr>
            <w:tcW w:w="90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493"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省下达</w:t>
            </w:r>
          </w:p>
        </w:tc>
        <w:tc>
          <w:tcPr>
            <w:tcW w:w="1438"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完成省定任务</w:t>
            </w:r>
          </w:p>
        </w:tc>
        <w:tc>
          <w:tcPr>
            <w:tcW w:w="1187" w:type="dxa"/>
            <w:tcBorders>
              <w:top w:val="single" w:color="auto" w:sz="6" w:space="0"/>
              <w:left w:val="single" w:color="auto" w:sz="6" w:space="0"/>
              <w:bottom w:val="single" w:color="auto" w:sz="6" w:space="0"/>
              <w:right w:val="single" w:color="auto" w:sz="6" w:space="0"/>
            </w:tcBorders>
            <w:vAlign w:val="center"/>
          </w:tcPr>
          <w:p>
            <w:pPr>
              <w:spacing w:line="0" w:lineRule="atLeast"/>
              <w:ind w:left="-21" w:leftChars="-10" w:right="-21" w:rightChars="-10"/>
              <w:jc w:val="center"/>
              <w:outlineLvl w:val="1"/>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1"/>
                <w:szCs w:val="21"/>
                <w:lang w:val="en-US" w:eastAsia="zh-CN"/>
              </w:rPr>
              <w:t>约束性</w:t>
            </w:r>
          </w:p>
        </w:tc>
      </w:tr>
    </w:tbl>
    <w:p>
      <w:pPr>
        <w:pStyle w:val="4"/>
        <w:keepNext w:val="0"/>
        <w:keepLines w:val="0"/>
        <w:widowControl w:val="0"/>
        <w:adjustRightInd w:val="0"/>
        <w:snapToGrid w:val="0"/>
        <w:spacing w:before="0" w:after="0" w:line="620" w:lineRule="exact"/>
        <w:ind w:firstLine="0" w:firstLineChars="0"/>
        <w:jc w:val="center"/>
        <w:outlineLvl w:val="1"/>
        <w:rPr>
          <w:rFonts w:ascii="仿宋_GB2312" w:hAnsi="仿宋_GB2312" w:eastAsia="仿宋_GB2312" w:cs="仿宋_GB2312"/>
          <w:bCs w:val="0"/>
          <w:snapToGrid w:val="0"/>
          <w:color w:val="auto"/>
          <w:kern w:val="0"/>
          <w:sz w:val="32"/>
          <w:szCs w:val="36"/>
        </w:rPr>
      </w:pPr>
      <w:bookmarkStart w:id="74" w:name="_Toc5800_WPSOffice_Level2"/>
      <w:r>
        <w:rPr>
          <w:rFonts w:hint="eastAsia" w:ascii="仿宋_GB2312" w:hAnsi="仿宋_GB2312" w:eastAsia="仿宋_GB2312" w:cs="仿宋_GB2312"/>
          <w:bCs w:val="0"/>
          <w:snapToGrid w:val="0"/>
          <w:color w:val="auto"/>
          <w:kern w:val="0"/>
          <w:sz w:val="32"/>
          <w:szCs w:val="36"/>
        </w:rPr>
        <w:t>第二节  机遇挑战</w:t>
      </w:r>
      <w:bookmarkEnd w:id="72"/>
      <w:bookmarkEnd w:id="73"/>
      <w:bookmarkEnd w:id="74"/>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textAlignment w:val="auto"/>
        <w:outlineLvl w:val="1"/>
        <w:rPr>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1"/>
        <w:rPr>
          <w:rFonts w:ascii="仿宋_GB2312" w:hAnsi="仿宋_GB2312" w:eastAsia="仿宋_GB2312" w:cs="仿宋_GB2312"/>
          <w:color w:val="auto"/>
          <w:sz w:val="32"/>
          <w:szCs w:val="32"/>
        </w:rPr>
      </w:pPr>
      <w:r>
        <w:rPr>
          <w:rFonts w:ascii="楷体_GB2312" w:hAnsi="楷体_GB2312" w:eastAsia="楷体_GB2312" w:cs="楷体_GB2312"/>
          <w:b/>
          <w:bCs/>
          <w:color w:val="auto"/>
          <w:sz w:val="32"/>
          <w:szCs w:val="32"/>
        </w:rPr>
        <mc:AlternateContent>
          <mc:Choice Requires="wps">
            <w:drawing>
              <wp:anchor distT="0" distB="0" distL="114300" distR="114300" simplePos="0" relativeHeight="251660288" behindDoc="0" locked="0" layoutInCell="1" allowOverlap="1">
                <wp:simplePos x="0" y="0"/>
                <wp:positionH relativeFrom="page">
                  <wp:posOffset>3722370</wp:posOffset>
                </wp:positionH>
                <wp:positionV relativeFrom="paragraph">
                  <wp:posOffset>3893185</wp:posOffset>
                </wp:positionV>
                <wp:extent cx="86360" cy="146685"/>
                <wp:effectExtent l="0" t="0" r="0" b="0"/>
                <wp:wrapNone/>
                <wp:docPr id="1027" name="文本框 3"/>
                <wp:cNvGraphicFramePr/>
                <a:graphic xmlns:a="http://schemas.openxmlformats.org/drawingml/2006/main">
                  <a:graphicData uri="http://schemas.microsoft.com/office/word/2010/wordprocessingShape">
                    <wps:wsp>
                      <wps:cNvSpPr/>
                      <wps:spPr>
                        <a:xfrm>
                          <a:off x="0" y="0"/>
                          <a:ext cx="86359" cy="146684"/>
                        </a:xfrm>
                        <a:prstGeom prst="rect">
                          <a:avLst/>
                        </a:prstGeom>
                        <a:noFill/>
                        <a:ln>
                          <a:noFill/>
                        </a:ln>
                        <a:effectLst/>
                      </wps:spPr>
                      <wps:txbx>
                        <w:txbxContent>
                          <w:p>
                            <w:pPr>
                              <w:spacing w:line="120" w:lineRule="auto"/>
                              <w:ind w:left="20"/>
                              <w:rPr>
                                <w:sz w:val="19"/>
                              </w:rPr>
                            </w:pPr>
                            <w:r>
                              <w:rPr>
                                <w:rFonts w:hint="eastAsia"/>
                                <w:color w:val="4B4B4B"/>
                                <w:sz w:val="19"/>
                              </w:rPr>
                              <w:t>5</w:t>
                            </w:r>
                          </w:p>
                        </w:txbxContent>
                      </wps:txbx>
                      <wps:bodyPr vert="eaVert" lIns="0" tIns="0" rIns="0" bIns="0" upright="1"/>
                    </wps:wsp>
                  </a:graphicData>
                </a:graphic>
              </wp:anchor>
            </w:drawing>
          </mc:Choice>
          <mc:Fallback>
            <w:pict>
              <v:rect id="文本框 3" o:spid="_x0000_s1026" o:spt="1" style="position:absolute;left:0pt;margin-left:293.1pt;margin-top:306.55pt;height:11.55pt;width:6.8pt;mso-position-horizontal-relative:page;z-index:251660288;mso-width-relative:page;mso-height-relative:page;" filled="f" stroked="f" coordsize="21600,21600" o:gfxdata="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23S+ztsAAAAL&#10;AQAADwAAAAAAAAABACAAAAAiAAAAZHJzL2Rvd25yZXYueG1sUEsBAhQAFAAAAAgAh07iQN1I/iSn&#10;AQAANwMAAA4AAAAAAAAAAQAgAAAAKgEAAGRycy9lMm9Eb2MueG1sUEsFBgAAAAAGAAYAWQEAAEMF&#10;AAAAAA==&#10;">
                <v:fill on="f" focussize="0,0"/>
                <v:stroke on="f"/>
                <v:imagedata o:title=""/>
                <o:lock v:ext="edit" aspectratio="f"/>
                <v:textbox inset="0mm,0mm,0mm,0mm" style="layout-flow:vertical-ideographic;">
                  <w:txbxContent>
                    <w:p>
                      <w:pPr>
                        <w:spacing w:line="120" w:lineRule="auto"/>
                        <w:ind w:left="20"/>
                        <w:rPr>
                          <w:sz w:val="19"/>
                        </w:rPr>
                      </w:pPr>
                      <w:r>
                        <w:rPr>
                          <w:rFonts w:hint="eastAsia"/>
                          <w:color w:val="4B4B4B"/>
                          <w:sz w:val="19"/>
                        </w:rPr>
                        <w:t>5</w:t>
                      </w:r>
                    </w:p>
                  </w:txbxContent>
                </v:textbox>
              </v:rect>
            </w:pict>
          </mc:Fallback>
        </mc:AlternateContent>
      </w:r>
      <w:r>
        <w:rPr>
          <w:rFonts w:hint="eastAsia" w:ascii="仿宋_GB2312" w:hAnsi="仿宋_GB2312" w:eastAsia="仿宋_GB2312" w:cs="仿宋_GB2312"/>
          <w:color w:val="auto"/>
          <w:sz w:val="32"/>
          <w:szCs w:val="32"/>
        </w:rPr>
        <w:t>“十四五”时期，我国仍处于重要战略机遇期，但机遇和挑战都发生了新的变化。对绩溪来说，推进高质量跨越式发展也具有多方面的机遇和优势。国家深入实施长三角一体化发展、长江经济带建设、促进中部地区加快崛起等战略，合作共建杭黄世界级自然生态和文化旅游廊道、新安江—千岛湖生态补偿试验区，我省大力推进新一轮皖江城市带承接产业转移示范区、皖南国际文化旅游示范区建设，重大战略和政策叠加效应集中释放。随着“十四五”时期宣绩高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杭临绩高铁</w:t>
      </w:r>
      <w:r>
        <w:rPr>
          <w:rFonts w:hint="eastAsia" w:ascii="仿宋_GB2312" w:hAnsi="仿宋_GB2312" w:eastAsia="仿宋_GB2312" w:cs="仿宋_GB2312"/>
          <w:color w:val="auto"/>
          <w:sz w:val="32"/>
          <w:szCs w:val="32"/>
        </w:rPr>
        <w:t>、绩谭快速通道的建成运营，通用机场获批建设，我县作为沪苏浙进入皖南的重要枢纽门户地位进一步巩固，为融杭接沪吸引更多要素资源创造了有利条件。“十四五”时期的生态和文化合作将成为区域合作竞争的焦点，绩溪是徽文化重要发源地，又属于皖南国际文化旅游示范区核心区、国家级徽州文化生态保护实验区、国家重点生态功能区、生态文明建设示范县，将历史悠久的徽文化与优质的生态环境本底融合，面向沪苏浙打造独具特色的文旅生态产业前景广阔。机械制造、健康食品医药、文化旅游、数字经济等四大产业集群化发展态势已经形成，抽水蓄能电站、富凯特材强基工程、小小科技智能制造汽车高端零部件生产基地、虎山头徽岭旅游度假区、徽之源文化产业集聚区等重大牵引性项目相继建成，将为经济高质量发展增添新动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五”时期，我县也面临不少困难和挑战。受国际环境日趋复杂、新冠肺炎疫情冲击等多重因素影响，经济下行压力较大；发展不平衡不充分问题仍然突出，与沪苏浙地区发展存在“断崖式”落差，经济总量不大、产业结构不优的问题还没有得到根本性扭转，产业竞争力和抗风险能力还比较弱；都市圈的虹吸效应持续放大，后发地区的资源要素流失问题越来越突出，加快发展的紧迫性越来越强；城市建设、基础设施、营商环境等方面还存在短板弱项，对人才的吸引力还不够强；乡村资源要素短缺，发展内生动力不足；教育、医疗、养老和社会保障等民生领域还存在不少短板亟待补齐，等等。对这些长期积累的结构性矛盾和当前面临的突出问题，我们要保持清醒头脑，增强忧患意识，树立底线思维，着力在准确识变、科学应变、主动求变中趋利避害，实现后发赶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上分析，我县面临的挑战更具复杂性、严峻性，但面临的机遇也更具战略性、可塑性，绩溪将进入厚积薄发、大有可为的新的发展时期。我们要科学研判绩溪发展的“时”与“势”，辩证把握“危”与“机”，切实抓住用好重要战略机遇期，既保持定力耐力，又保持闯劲韧劲，努力在危机中育先机、于变局中开新局，确保我县“十四五”时期高质量发展、确保绩溪全面建设社会主义现代化开好局、起好步。</w:t>
      </w:r>
      <w:bookmarkStart w:id="75" w:name="_Toc8284"/>
      <w:bookmarkStart w:id="76" w:name="_Toc21791"/>
      <w:bookmarkStart w:id="77" w:name="_Toc21362"/>
      <w:bookmarkStart w:id="78" w:name="_Toc29495"/>
      <w:bookmarkStart w:id="79" w:name="_Toc26430"/>
      <w:bookmarkStart w:id="80" w:name="_Toc9150"/>
      <w:bookmarkStart w:id="81" w:name="_Toc56676796"/>
      <w:bookmarkStart w:id="82" w:name="_Toc10616"/>
      <w:bookmarkStart w:id="83" w:name="_Toc6896"/>
      <w:bookmarkStart w:id="84" w:name="_Toc27302"/>
      <w:bookmarkStart w:id="85" w:name="_Toc14374"/>
      <w:bookmarkStart w:id="86" w:name="_Toc18030"/>
      <w:bookmarkStart w:id="87" w:name="_Toc16989"/>
      <w:bookmarkStart w:id="88" w:name="_Toc13410"/>
      <w:bookmarkStart w:id="89" w:name="_Toc26609"/>
      <w:bookmarkStart w:id="90" w:name="_Toc16882"/>
      <w:bookmarkStart w:id="91" w:name="_Toc164"/>
      <w:bookmarkStart w:id="92" w:name="_Toc53304848"/>
      <w:bookmarkStart w:id="93" w:name="_Toc6656"/>
      <w:bookmarkStart w:id="94" w:name="_Toc11959"/>
      <w:bookmarkStart w:id="95" w:name="_Toc16089"/>
      <w:bookmarkStart w:id="96" w:name="_Toc6931"/>
      <w:bookmarkStart w:id="97" w:name="_Toc31518"/>
      <w:bookmarkStart w:id="98" w:name="_Toc8561"/>
      <w:bookmarkStart w:id="99" w:name="_Toc4576"/>
      <w:bookmarkStart w:id="100" w:name="_Toc13159"/>
      <w:bookmarkStart w:id="101" w:name="_Toc3228"/>
      <w:bookmarkStart w:id="102" w:name="_Toc3651"/>
      <w:bookmarkStart w:id="103" w:name="_Toc21494"/>
      <w:bookmarkStart w:id="104" w:name="_Toc26439"/>
      <w:bookmarkStart w:id="105" w:name="_Toc18832"/>
      <w:bookmarkStart w:id="106" w:name="_Toc23311"/>
      <w:bookmarkStart w:id="107" w:name="_Toc10676"/>
      <w:bookmarkStart w:id="108" w:name="_Toc13920"/>
      <w:bookmarkStart w:id="109" w:name="_Toc9761"/>
      <w:bookmarkStart w:id="110" w:name="_Toc14319"/>
      <w:bookmarkStart w:id="111" w:name="_Toc10738"/>
      <w:bookmarkStart w:id="112" w:name="_Toc17"/>
      <w:bookmarkStart w:id="113" w:name="_Toc7472"/>
      <w:bookmarkStart w:id="114" w:name="_Toc9350"/>
      <w:bookmarkStart w:id="115" w:name="_Toc29960"/>
      <w:bookmarkStart w:id="116" w:name="_Toc8317"/>
      <w:bookmarkStart w:id="117" w:name="_Toc7950"/>
      <w:bookmarkStart w:id="118" w:name="_Toc22113"/>
      <w:bookmarkStart w:id="119" w:name="_Toc28457"/>
      <w:bookmarkStart w:id="120" w:name="_Toc23891"/>
      <w:bookmarkStart w:id="121" w:name="_Toc4052"/>
      <w:bookmarkStart w:id="122" w:name="_Toc18318"/>
      <w:bookmarkStart w:id="123" w:name="_Toc8359"/>
      <w:bookmarkStart w:id="124" w:name="_Toc2018"/>
      <w:bookmarkStart w:id="125" w:name="_Toc30163"/>
      <w:bookmarkStart w:id="126" w:name="_Toc25779"/>
      <w:bookmarkStart w:id="127" w:name="_Toc58790224"/>
      <w:bookmarkStart w:id="128" w:name="_Toc19524"/>
      <w:bookmarkStart w:id="129" w:name="_Toc25201"/>
      <w:bookmarkStart w:id="130" w:name="_Toc16679"/>
    </w:p>
    <w:p>
      <w:pPr>
        <w:numPr>
          <w:ilvl w:val="0"/>
          <w:numId w:val="0"/>
        </w:numPr>
        <w:spacing w:line="580" w:lineRule="exact"/>
        <w:jc w:val="center"/>
        <w:outlineLvl w:val="1"/>
        <w:rPr>
          <w:rFonts w:ascii="仿宋_GB2312" w:hAnsi="仿宋_GB2312" w:eastAsia="仿宋_GB2312" w:cs="仿宋_GB2312"/>
          <w:b/>
          <w:bCs/>
          <w:color w:val="auto"/>
          <w:sz w:val="32"/>
          <w:szCs w:val="32"/>
        </w:rPr>
      </w:pPr>
      <w:bookmarkStart w:id="131" w:name="_Toc5715_WPSOffice_Level2"/>
      <w:r>
        <w:rPr>
          <w:rFonts w:hint="eastAsia" w:ascii="仿宋_GB2312" w:hAnsi="仿宋_GB2312" w:eastAsia="仿宋_GB2312" w:cs="仿宋_GB2312"/>
          <w:b/>
          <w:bCs/>
          <w:color w:val="auto"/>
          <w:sz w:val="32"/>
          <w:szCs w:val="32"/>
          <w:lang w:eastAsia="zh-CN"/>
        </w:rPr>
        <w:t>第三节</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指导思想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Start w:id="132" w:name="_Toc3283"/>
      <w:bookmarkStart w:id="133" w:name="_Toc53304849"/>
      <w:bookmarkStart w:id="134" w:name="_Toc58790225"/>
      <w:bookmarkStart w:id="135" w:name="_Toc22256"/>
      <w:bookmarkStart w:id="136" w:name="_Toc7008"/>
      <w:bookmarkStart w:id="137" w:name="_Toc26905"/>
      <w:bookmarkStart w:id="138" w:name="_Toc30524"/>
      <w:bookmarkStart w:id="139" w:name="_Toc22125"/>
      <w:bookmarkStart w:id="140" w:name="_Toc11010"/>
      <w:bookmarkStart w:id="141" w:name="_Toc30205"/>
      <w:bookmarkStart w:id="142" w:name="_Toc15045"/>
      <w:bookmarkStart w:id="143" w:name="_Toc30322"/>
      <w:bookmarkStart w:id="144" w:name="_Toc15682"/>
      <w:bookmarkStart w:id="145" w:name="_Toc12756"/>
      <w:bookmarkStart w:id="146" w:name="_Toc15862"/>
      <w:bookmarkStart w:id="147" w:name="_Toc27420"/>
      <w:bookmarkStart w:id="148" w:name="_Toc16511"/>
      <w:bookmarkStart w:id="149" w:name="_Toc14159"/>
      <w:bookmarkStart w:id="150" w:name="_Toc15443"/>
      <w:bookmarkStart w:id="151" w:name="_Toc7187"/>
      <w:bookmarkStart w:id="152" w:name="_Toc4677"/>
      <w:bookmarkStart w:id="153" w:name="_Toc28237"/>
      <w:bookmarkStart w:id="154" w:name="_Toc195"/>
      <w:bookmarkStart w:id="155" w:name="_Toc23468"/>
      <w:bookmarkStart w:id="156" w:name="_Toc26197"/>
      <w:bookmarkStart w:id="157" w:name="_Toc3813"/>
      <w:bookmarkStart w:id="158" w:name="_Toc11841"/>
      <w:bookmarkStart w:id="159" w:name="_Toc19964"/>
      <w:bookmarkStart w:id="160" w:name="_Toc14541"/>
      <w:bookmarkStart w:id="161" w:name="_Toc1344"/>
      <w:bookmarkStart w:id="162" w:name="_Toc17960"/>
      <w:bookmarkStart w:id="163" w:name="_Toc21967"/>
      <w:bookmarkStart w:id="164" w:name="_Toc14933"/>
      <w:bookmarkStart w:id="165" w:name="_Toc27839"/>
      <w:bookmarkStart w:id="166" w:name="_Toc32407"/>
      <w:bookmarkStart w:id="167" w:name="_Toc26460"/>
      <w:bookmarkStart w:id="168" w:name="_Toc14278"/>
      <w:bookmarkStart w:id="169" w:name="_Toc4226"/>
      <w:bookmarkStart w:id="170" w:name="_Toc9541"/>
      <w:bookmarkStart w:id="171" w:name="_Toc56676797"/>
      <w:bookmarkStart w:id="172" w:name="_Toc14958"/>
      <w:bookmarkStart w:id="173" w:name="_Toc18533"/>
      <w:bookmarkStart w:id="174" w:name="_Toc1576"/>
      <w:bookmarkStart w:id="175" w:name="_Toc126"/>
      <w:bookmarkStart w:id="176" w:name="_Toc12763"/>
      <w:bookmarkStart w:id="177" w:name="_Toc11652"/>
      <w:bookmarkStart w:id="178" w:name="_Toc9115"/>
      <w:bookmarkStart w:id="179" w:name="_Toc14264"/>
      <w:bookmarkStart w:id="180" w:name="_Toc18319"/>
      <w:bookmarkStart w:id="181" w:name="_Toc6289"/>
      <w:bookmarkStart w:id="182" w:name="_Toc25113"/>
      <w:bookmarkStart w:id="183" w:name="_Toc12468"/>
      <w:bookmarkStart w:id="184" w:name="_Toc21151"/>
      <w:bookmarkStart w:id="185" w:name="_Toc30627"/>
      <w:bookmarkStart w:id="186" w:name="_Toc4198"/>
      <w:bookmarkStart w:id="187" w:name="_Toc29468"/>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0"/>
        <w:textAlignment w:val="auto"/>
        <w:outlineLvl w:val="1"/>
        <w:rPr>
          <w:color w:val="auto"/>
        </w:rPr>
      </w:pPr>
    </w:p>
    <w:p>
      <w:pPr>
        <w:spacing w:line="580" w:lineRule="exact"/>
        <w:ind w:firstLine="640" w:firstLineChars="200"/>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认真贯彻落实习近平总书记重要讲话指示精神，全面贯彻党的基本理论、基本路线、基本方略，统筹推进“五位一体”总体布局和协调推进“四个全面”战略布局，坚定不移贯彻新发展理念，坚持稳中求进工作总基调，以推动高质量发展为主题，以深化供给侧结构性改革为主线，以改革创新为根本动力，以满足人民日益增长的美好生活需要为根本目的，围绕“对标沪苏浙、争当排头兵”战略部署，聚焦“美丽中国先行区、绿色发展样板区和文旅康养目的地”发展定位，弘扬践行“生态争样板、发展争上游、工作争一流”精神，大力实施“生态立县、工业强县、创新兴县、开放活县”战略，全力推进“产业质效突破、融杭接沪加速、科技创新转化、城市能级提升、乡村振兴示范”行动，奋力在安徽实现“更大作为、更大进展”中争先进位、贡献力量，加快建设全域美、产业强、百姓富</w:t>
      </w:r>
      <w:r>
        <w:rPr>
          <w:rFonts w:hint="eastAsia" w:ascii="仿宋_GB2312" w:hAnsi="仿宋_GB2312" w:eastAsia="仿宋_GB2312" w:cs="仿宋_GB2312"/>
          <w:color w:val="auto"/>
          <w:sz w:val="32"/>
          <w:szCs w:val="32"/>
          <w:lang w:eastAsia="zh-CN"/>
        </w:rPr>
        <w:t>新时代</w:t>
      </w:r>
      <w:r>
        <w:rPr>
          <w:rFonts w:hint="eastAsia" w:ascii="仿宋_GB2312" w:hAnsi="仿宋_GB2312" w:eastAsia="仿宋_GB2312" w:cs="仿宋_GB2312"/>
          <w:color w:val="auto"/>
          <w:sz w:val="32"/>
          <w:szCs w:val="32"/>
        </w:rPr>
        <w:t>美丽幸福绩溪。</w:t>
      </w:r>
    </w:p>
    <w:p>
      <w:pPr>
        <w:spacing w:line="580" w:lineRule="exact"/>
        <w:ind w:firstLine="643" w:firstLineChars="200"/>
        <w:outlineLvl w:val="1"/>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“十四五”时期经济社会发展必须遵循以下基本原则：</w:t>
      </w:r>
    </w:p>
    <w:p>
      <w:pPr>
        <w:spacing w:line="580" w:lineRule="exact"/>
        <w:ind w:firstLine="643" w:firstLineChars="200"/>
        <w:outlineLvl w:val="1"/>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——坚持党的全面领导。</w:t>
      </w:r>
      <w:r>
        <w:rPr>
          <w:rFonts w:hint="eastAsia" w:ascii="仿宋_GB2312" w:hAnsi="仿宋_GB2312" w:eastAsia="仿宋_GB2312" w:cs="仿宋_GB2312"/>
          <w:b w:val="0"/>
          <w:bCs w:val="0"/>
          <w:color w:val="auto"/>
          <w:sz w:val="32"/>
          <w:szCs w:val="32"/>
        </w:rPr>
        <w:t>坚决维护习近平总书记在党中央和全党的核心地位，坚决维护党中央权威和集中统一领导，发挥好县委总揽全局、协调各方的领导核心作用，不折不扣地把党中央的决策部署落到实处，为推进高质量发展和现代化建设提供根本保证。</w:t>
      </w:r>
    </w:p>
    <w:p>
      <w:pPr>
        <w:spacing w:line="580" w:lineRule="exact"/>
        <w:ind w:firstLine="643"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——坚持以人民为中心。</w:t>
      </w:r>
      <w:r>
        <w:rPr>
          <w:rFonts w:hint="eastAsia" w:ascii="仿宋_GB2312" w:hAnsi="仿宋_GB2312" w:eastAsia="仿宋_GB2312" w:cs="仿宋_GB2312"/>
          <w:color w:val="auto"/>
          <w:sz w:val="32"/>
          <w:szCs w:val="32"/>
        </w:rPr>
        <w:t>牢固树立以人民为中心的发展思想，坚持共同富裕方向，聚焦人民群众所需、所急、所盼的民生实事，精准发力、久久为功，让改革发展成果以更高水平惠及广大人民群众，全面提升人民群众的获得感、幸福感、安全感。</w:t>
      </w:r>
    </w:p>
    <w:p>
      <w:pPr>
        <w:spacing w:line="580" w:lineRule="exact"/>
        <w:ind w:firstLine="643"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——坚持新发展理念。</w:t>
      </w:r>
      <w:r>
        <w:rPr>
          <w:rFonts w:hint="eastAsia" w:ascii="仿宋_GB2312" w:hAnsi="仿宋_GB2312" w:eastAsia="仿宋_GB2312" w:cs="仿宋_GB2312"/>
          <w:color w:val="auto"/>
          <w:sz w:val="32"/>
          <w:szCs w:val="32"/>
        </w:rPr>
        <w:t>坚定不移贯彻新发展理念，以创新为第一动力，持续推进经济发展质量变革、效率变革、动力变革，加快构建新发展格局，实现更高质量、更有效率、更加公平、更可持续、更为安全的发展，逐步缩小与沪苏浙主要城市差距。</w:t>
      </w:r>
    </w:p>
    <w:p>
      <w:pPr>
        <w:spacing w:line="580" w:lineRule="exact"/>
        <w:ind w:firstLine="643"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——坚持深化改革开放。</w:t>
      </w:r>
      <w:r>
        <w:rPr>
          <w:rFonts w:hint="eastAsia" w:ascii="仿宋_GB2312" w:hAnsi="仿宋_GB2312" w:eastAsia="仿宋_GB2312" w:cs="仿宋_GB2312"/>
          <w:color w:val="auto"/>
          <w:sz w:val="32"/>
          <w:szCs w:val="32"/>
        </w:rPr>
        <w:t>主动服务融入国家区域重大战略，加快推进与沪苏浙体制机制对接融合，全面深化各领域改革，着力破除制约高质量发展的深层次体制机制障碍，加快形成更高水平开放型经济新体制。</w:t>
      </w:r>
    </w:p>
    <w:p>
      <w:pPr>
        <w:spacing w:line="580" w:lineRule="exact"/>
        <w:ind w:firstLine="643"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——坚持系统观念。</w:t>
      </w:r>
      <w:r>
        <w:rPr>
          <w:rFonts w:hint="eastAsia" w:ascii="仿宋_GB2312" w:hAnsi="仿宋_GB2312" w:eastAsia="仿宋_GB2312" w:cs="仿宋_GB2312"/>
          <w:color w:val="auto"/>
          <w:sz w:val="32"/>
          <w:szCs w:val="32"/>
        </w:rPr>
        <w:t>统筹国际和国内两个大局、安全和发展两件大事，加强前瞻性思考、全局性谋划、战略性布局、整体性推进，牢牢把握我县在构建新发展格局和推动长三角一体化发展中的历史方位和战略使命，充分发挥后发优势、比较优势，在合作与竞争中锻长补短、提质增效，实现发展质量、结构、规模、速度、效益、安全相统一。</w:t>
      </w:r>
    </w:p>
    <w:p>
      <w:pPr>
        <w:spacing w:line="240" w:lineRule="exact"/>
        <w:ind w:firstLine="640" w:firstLineChars="200"/>
        <w:jc w:val="center"/>
        <w:outlineLvl w:val="1"/>
        <w:rPr>
          <w:rFonts w:ascii="仿宋_GB2312" w:hAnsi="仿宋_GB2312" w:eastAsia="仿宋_GB2312" w:cs="仿宋_GB2312"/>
          <w:color w:val="auto"/>
          <w:sz w:val="32"/>
        </w:rPr>
      </w:pPr>
    </w:p>
    <w:p>
      <w:pPr>
        <w:ind w:firstLine="602" w:firstLineChars="250"/>
        <w:jc w:val="center"/>
        <w:outlineLvl w:val="1"/>
        <w:rPr>
          <w:rFonts w:ascii="仿宋" w:hAnsi="仿宋" w:eastAsia="仿宋"/>
          <w:b/>
          <w:color w:val="auto"/>
          <w:sz w:val="24"/>
          <w:szCs w:val="24"/>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819"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ascii="宋体" w:hAnsi="Calibri" w:eastAsia="宋体" w:cs="宋体"/>
                <w:color w:val="auto"/>
                <w:kern w:val="0"/>
                <w:sz w:val="22"/>
                <w:lang w:val="zh-CN"/>
              </w:rPr>
            </w:pPr>
            <w:r>
              <w:rPr>
                <w:rFonts w:hint="eastAsia" w:ascii="仿宋" w:hAnsi="仿宋" w:eastAsia="仿宋"/>
                <w:b/>
                <w:color w:val="auto"/>
                <w:sz w:val="28"/>
                <w:szCs w:val="28"/>
              </w:rPr>
              <w:t>专栏2</w:t>
            </w:r>
            <w:r>
              <w:rPr>
                <w:rFonts w:ascii="仿宋" w:hAnsi="仿宋" w:eastAsia="仿宋"/>
                <w:b/>
                <w:color w:val="auto"/>
                <w:sz w:val="28"/>
                <w:szCs w:val="28"/>
              </w:rPr>
              <w:t xml:space="preserve">  </w:t>
            </w:r>
            <w:r>
              <w:rPr>
                <w:rFonts w:hint="eastAsia" w:ascii="仿宋" w:hAnsi="仿宋" w:eastAsia="仿宋"/>
                <w:b/>
                <w:color w:val="auto"/>
                <w:sz w:val="28"/>
                <w:szCs w:val="28"/>
              </w:rPr>
              <w:t>四大战略</w:t>
            </w:r>
          </w:p>
        </w:tc>
      </w:tr>
      <w:tr>
        <w:tblPrEx>
          <w:tblCellMar>
            <w:top w:w="0" w:type="dxa"/>
            <w:left w:w="108" w:type="dxa"/>
            <w:bottom w:w="0" w:type="dxa"/>
            <w:right w:w="108" w:type="dxa"/>
          </w:tblCellMar>
        </w:tblPrEx>
        <w:trPr>
          <w:trHeight w:val="5243"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pStyle w:val="2"/>
              <w:spacing w:line="480" w:lineRule="exact"/>
              <w:ind w:left="0" w:firstLine="560" w:firstLineChars="200"/>
              <w:outlineLvl w:val="1"/>
              <w:rPr>
                <w:rFonts w:ascii="Times New Roman" w:eastAsia="仿宋_GB2312" w:cs="仿宋_GB2312"/>
                <w:color w:val="auto"/>
                <w:sz w:val="28"/>
                <w:szCs w:val="28"/>
              </w:rPr>
            </w:pPr>
            <w:r>
              <w:rPr>
                <w:rFonts w:hint="eastAsia" w:ascii="黑体" w:hAnsi="黑体" w:eastAsia="黑体" w:cs="黑体"/>
                <w:color w:val="auto"/>
                <w:sz w:val="28"/>
                <w:szCs w:val="28"/>
              </w:rPr>
              <w:t>生态立县</w:t>
            </w:r>
            <w:r>
              <w:rPr>
                <w:rFonts w:hint="eastAsia" w:ascii="Times New Roman" w:eastAsia="仿宋_GB2312" w:cs="仿宋_GB2312"/>
                <w:color w:val="auto"/>
                <w:sz w:val="28"/>
                <w:szCs w:val="28"/>
              </w:rPr>
              <w:t>。牢固树立和践行绿水青山就是金山银山的理念，立足国家重点生态功能区定位，坚守生态底线，护美绿水青山；要在生态优势转化上做足文章，着力拓展“两山”转化通道，在壮大美丽经济的补短挖潜中育新机、开新局，让生态“金名片”成为发展的“金饭碗”。</w:t>
            </w:r>
          </w:p>
          <w:p>
            <w:pPr>
              <w:pStyle w:val="2"/>
              <w:spacing w:line="480" w:lineRule="exact"/>
              <w:ind w:left="0" w:firstLine="560" w:firstLineChars="200"/>
              <w:outlineLvl w:val="1"/>
              <w:rPr>
                <w:rFonts w:ascii="Times New Roman" w:eastAsia="仿宋_GB2312" w:cs="仿宋_GB2312"/>
                <w:color w:val="auto"/>
                <w:sz w:val="28"/>
                <w:szCs w:val="28"/>
              </w:rPr>
            </w:pPr>
            <w:r>
              <w:rPr>
                <w:rFonts w:hint="eastAsia" w:ascii="黑体" w:hAnsi="黑体" w:eastAsia="黑体" w:cs="黑体"/>
                <w:color w:val="auto"/>
                <w:sz w:val="28"/>
                <w:szCs w:val="28"/>
              </w:rPr>
              <w:t>工业强县</w:t>
            </w:r>
            <w:r>
              <w:rPr>
                <w:rFonts w:hint="eastAsia" w:ascii="Times New Roman" w:eastAsia="仿宋_GB2312" w:cs="仿宋_GB2312"/>
                <w:color w:val="auto"/>
                <w:sz w:val="28"/>
                <w:szCs w:val="28"/>
              </w:rPr>
              <w:t>。</w:t>
            </w:r>
            <w:r>
              <w:rPr>
                <w:rFonts w:hint="eastAsia" w:ascii="仿宋_GB2312" w:hAnsi="华文中宋" w:eastAsia="仿宋_GB2312" w:cstheme="minorBidi"/>
                <w:color w:val="auto"/>
                <w:kern w:val="2"/>
                <w:sz w:val="28"/>
                <w:szCs w:val="28"/>
              </w:rPr>
              <w:t>把做实做强做优实体经济作为主攻方向，一手抓传统产业转型升级，一手抓战略性新兴产业发展壮</w:t>
            </w:r>
            <w:r>
              <w:rPr>
                <w:rFonts w:hint="eastAsia" w:ascii="仿宋_GB2312" w:hAnsi="仿宋_GB2312" w:eastAsia="仿宋_GB2312" w:cs="仿宋_GB2312"/>
                <w:color w:val="auto"/>
                <w:sz w:val="28"/>
                <w:szCs w:val="28"/>
              </w:rPr>
              <w:t>大，推进重点骨干企业创新发展，加大中小微企业培育力度，</w:t>
            </w:r>
            <w:r>
              <w:rPr>
                <w:rFonts w:hint="eastAsia" w:ascii="Times New Roman" w:eastAsia="仿宋_GB2312" w:cs="仿宋_GB2312"/>
                <w:color w:val="auto"/>
                <w:sz w:val="28"/>
                <w:szCs w:val="28"/>
              </w:rPr>
              <w:t>主动承接产业转移，着力完善产业链条，</w:t>
            </w:r>
            <w:r>
              <w:rPr>
                <w:rFonts w:hint="eastAsia" w:ascii="Times New Roman" w:eastAsia="仿宋_GB2312" w:cs="仿宋_GB2312"/>
                <w:color w:val="auto"/>
                <w:sz w:val="28"/>
                <w:szCs w:val="28"/>
                <w:lang w:val="en-US" w:eastAsia="zh-CN"/>
              </w:rPr>
              <w:t>强化延链、补链、强链，</w:t>
            </w:r>
            <w:r>
              <w:rPr>
                <w:rFonts w:hint="eastAsia" w:ascii="Times New Roman" w:eastAsia="仿宋_GB2312" w:cs="仿宋_GB2312"/>
                <w:color w:val="auto"/>
                <w:sz w:val="28"/>
                <w:szCs w:val="28"/>
              </w:rPr>
              <w:t>培育一批先进制造业龙头企业和优势产业集群。</w:t>
            </w:r>
          </w:p>
          <w:p>
            <w:pPr>
              <w:pStyle w:val="2"/>
              <w:spacing w:line="480" w:lineRule="exact"/>
              <w:ind w:left="0" w:firstLine="560" w:firstLineChars="200"/>
              <w:outlineLvl w:val="1"/>
              <w:rPr>
                <w:rFonts w:ascii="Times New Roman" w:eastAsia="仿宋_GB2312" w:cs="仿宋_GB2312"/>
                <w:color w:val="auto"/>
                <w:sz w:val="28"/>
                <w:szCs w:val="28"/>
              </w:rPr>
            </w:pPr>
            <w:r>
              <w:rPr>
                <w:rFonts w:hint="eastAsia" w:ascii="黑体" w:hAnsi="黑体" w:eastAsia="黑体" w:cs="黑体"/>
                <w:color w:val="auto"/>
                <w:sz w:val="28"/>
                <w:szCs w:val="28"/>
              </w:rPr>
              <w:t>创新兴县。</w:t>
            </w:r>
            <w:r>
              <w:rPr>
                <w:rFonts w:hint="eastAsia" w:ascii="Times New Roman" w:eastAsia="仿宋_GB2312" w:cs="仿宋_GB2312"/>
                <w:color w:val="auto"/>
                <w:sz w:val="28"/>
                <w:szCs w:val="28"/>
              </w:rPr>
              <w:t>把创新作为推进发展的动力源，打好转型升级“组合拳”，全面拓展创新理念、技术和业态，重点突破科技创新和产业创新。要强化人才支撑，在育才、引才、用才上同向发力，为发展提供智力保障。</w:t>
            </w:r>
          </w:p>
          <w:p>
            <w:pPr>
              <w:pStyle w:val="2"/>
              <w:spacing w:line="480" w:lineRule="exact"/>
              <w:ind w:firstLine="420" w:firstLineChars="150"/>
              <w:outlineLvl w:val="1"/>
              <w:rPr>
                <w:rFonts w:ascii="仿宋" w:hAnsi="仿宋" w:eastAsia="仿宋"/>
                <w:bCs/>
                <w:color w:val="auto"/>
                <w:sz w:val="24"/>
                <w:szCs w:val="24"/>
              </w:rPr>
            </w:pPr>
            <w:r>
              <w:rPr>
                <w:rFonts w:hint="eastAsia" w:ascii="黑体" w:hAnsi="黑体" w:eastAsia="黑体" w:cs="黑体"/>
                <w:color w:val="auto"/>
                <w:sz w:val="28"/>
                <w:szCs w:val="28"/>
              </w:rPr>
              <w:t>开放活县</w:t>
            </w:r>
            <w:r>
              <w:rPr>
                <w:rFonts w:hint="eastAsia" w:ascii="仿宋_GB2312" w:hAnsi="仿宋_GB2312" w:eastAsia="仿宋_GB2312" w:cs="仿宋_GB2312"/>
                <w:color w:val="auto"/>
                <w:sz w:val="28"/>
                <w:szCs w:val="28"/>
              </w:rPr>
              <w:t>。抢</w:t>
            </w:r>
            <w:r>
              <w:rPr>
                <w:rFonts w:hint="eastAsia" w:ascii="Times New Roman" w:eastAsia="仿宋_GB2312" w:cs="仿宋_GB2312"/>
                <w:color w:val="auto"/>
                <w:sz w:val="28"/>
                <w:szCs w:val="28"/>
              </w:rPr>
              <w:t>抓长三角一体化战略机遇，坚持融杭接沪发展，强化区域合作、产业对接、机制协同，努力形成更高水平、更宽领域、更深层次一体化发展新格局。</w:t>
            </w:r>
          </w:p>
        </w:tc>
      </w:tr>
    </w:tbl>
    <w:p>
      <w:pPr>
        <w:outlineLvl w:val="1"/>
        <w:rPr>
          <w:color w:val="auto"/>
        </w:rPr>
      </w:pPr>
    </w:p>
    <w:p>
      <w:pPr>
        <w:pStyle w:val="2"/>
      </w:pPr>
    </w:p>
    <w:tbl>
      <w:tblPr>
        <w:tblStyle w:val="15"/>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588" w:type="dxa"/>
            <w:vAlign w:val="center"/>
          </w:tcPr>
          <w:p>
            <w:pPr>
              <w:autoSpaceDE w:val="0"/>
              <w:autoSpaceDN w:val="0"/>
              <w:adjustRightInd w:val="0"/>
              <w:jc w:val="center"/>
              <w:outlineLvl w:val="1"/>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b/>
                <w:color w:val="auto"/>
                <w:sz w:val="28"/>
                <w:szCs w:val="28"/>
              </w:rPr>
              <w:t>专栏3  “两区一地”发展定位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8" w:type="dxa"/>
          </w:tcPr>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49"/>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美丽中国先行区。</w:t>
            </w:r>
            <w:r>
              <w:rPr>
                <w:rFonts w:hint="eastAsia" w:ascii="仿宋_GB2312" w:hAnsi="仿宋_GB2312" w:eastAsia="仿宋_GB2312" w:cs="仿宋_GB2312"/>
                <w:bCs/>
                <w:color w:val="auto"/>
                <w:sz w:val="28"/>
                <w:szCs w:val="28"/>
              </w:rPr>
              <w:t>立足优良的生态环境和深厚的文化底蕴，巩固提升国家生态文明建设示范县成果，创建“两山”实践创新基地，夯实绿色发展生态本底，深入推进新型城镇化和乡村振兴“五百”工程，形成集约高效的城乡空间布局，加快建设美丽乡村、美丽田园、美丽河流、美丽城市，建立人与自然和谐共生美好家园，打造美丽中国“绩溪样板”。</w:t>
            </w:r>
          </w:p>
          <w:p>
            <w:pPr>
              <w:keepNext w:val="0"/>
              <w:keepLines w:val="0"/>
              <w:pageBreakBefore w:val="0"/>
              <w:widowControl w:val="0"/>
              <w:kinsoku/>
              <w:wordWrap/>
              <w:overflowPunct/>
              <w:topLinePunct w:val="0"/>
              <w:autoSpaceDE w:val="0"/>
              <w:autoSpaceDN w:val="0"/>
              <w:bidi w:val="0"/>
              <w:adjustRightInd w:val="0"/>
              <w:snapToGrid/>
              <w:spacing w:before="156" w:line="620" w:lineRule="exact"/>
              <w:ind w:firstLine="549"/>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绿色发展样板区。</w:t>
            </w:r>
            <w:r>
              <w:rPr>
                <w:rFonts w:hint="eastAsia" w:ascii="仿宋_GB2312" w:hAnsi="仿宋_GB2312" w:eastAsia="仿宋_GB2312" w:cs="仿宋_GB2312"/>
                <w:bCs/>
                <w:color w:val="auto"/>
                <w:sz w:val="28"/>
                <w:szCs w:val="28"/>
              </w:rPr>
              <w:t>严格落实国家重点生态功能区规定，以绿色发展为根本目标，按照高质量发展要求，创新“绿色+”发展模式，持续构建绿色产业、绿色能源、绿色城镇、绿色交通和绿色服务体系，形成绿色生产方式和生活方式，推进</w:t>
            </w:r>
            <w:r>
              <w:rPr>
                <w:rFonts w:hint="eastAsia" w:ascii="仿宋_GB2312" w:hAnsi="仿宋_GB2312" w:eastAsia="仿宋_GB2312" w:cs="仿宋_GB2312"/>
                <w:bCs/>
                <w:color w:val="auto"/>
                <w:sz w:val="28"/>
                <w:szCs w:val="28"/>
                <w:lang w:val="en-US" w:eastAsia="zh-CN"/>
              </w:rPr>
              <w:t>产业</w:t>
            </w:r>
            <w:r>
              <w:rPr>
                <w:rFonts w:hint="eastAsia" w:ascii="仿宋_GB2312" w:hAnsi="仿宋_GB2312" w:eastAsia="仿宋_GB2312" w:cs="仿宋_GB2312"/>
                <w:bCs/>
                <w:color w:val="auto"/>
                <w:sz w:val="28"/>
                <w:szCs w:val="28"/>
              </w:rPr>
              <w:t>绿色化</w:t>
            </w:r>
            <w:r>
              <w:rPr>
                <w:rFonts w:hint="eastAsia" w:ascii="仿宋_GB2312" w:hAnsi="仿宋_GB2312" w:eastAsia="仿宋_GB2312" w:cs="仿宋_GB2312"/>
                <w:bCs/>
                <w:color w:val="auto"/>
                <w:sz w:val="28"/>
                <w:szCs w:val="28"/>
                <w:lang w:val="en-US" w:eastAsia="zh-CN"/>
              </w:rPr>
              <w:t>、数字化与</w:t>
            </w:r>
            <w:r>
              <w:rPr>
                <w:rFonts w:hint="eastAsia" w:ascii="仿宋_GB2312" w:hAnsi="仿宋_GB2312" w:eastAsia="仿宋_GB2312" w:cs="仿宋_GB2312"/>
                <w:bCs/>
                <w:color w:val="auto"/>
                <w:sz w:val="28"/>
                <w:szCs w:val="28"/>
              </w:rPr>
              <w:t>现代化有机融合，促进经济社会发展全面绿色转型；重点承接长三角地区</w:t>
            </w:r>
            <w:r>
              <w:rPr>
                <w:rFonts w:hint="eastAsia" w:ascii="仿宋_GB2312" w:hAnsi="仿宋_GB2312" w:eastAsia="仿宋_GB2312" w:cs="仿宋_GB2312"/>
                <w:bCs/>
                <w:color w:val="auto"/>
                <w:sz w:val="28"/>
                <w:szCs w:val="28"/>
                <w:lang w:val="en-US" w:eastAsia="zh-CN"/>
              </w:rPr>
              <w:t>高</w:t>
            </w:r>
            <w:r>
              <w:rPr>
                <w:rFonts w:hint="eastAsia" w:ascii="仿宋_GB2312" w:hAnsi="仿宋_GB2312" w:eastAsia="仿宋_GB2312" w:cs="仿宋_GB2312"/>
                <w:bCs/>
                <w:color w:val="auto"/>
                <w:sz w:val="28"/>
                <w:szCs w:val="28"/>
              </w:rPr>
              <w:t>端制造业转移和科技成果转化，高水平打造以绿色为基点、创新为引领、中高端产业为支撑的现代产业体系。</w:t>
            </w:r>
          </w:p>
          <w:p>
            <w:pPr>
              <w:pStyle w:val="2"/>
              <w:keepNext w:val="0"/>
              <w:keepLines w:val="0"/>
              <w:pageBreakBefore w:val="0"/>
              <w:widowControl w:val="0"/>
              <w:kinsoku/>
              <w:wordWrap/>
              <w:overflowPunct/>
              <w:topLinePunct w:val="0"/>
              <w:autoSpaceDE w:val="0"/>
              <w:autoSpaceDN w:val="0"/>
              <w:bidi w:val="0"/>
              <w:adjustRightInd w:val="0"/>
              <w:snapToGrid/>
              <w:spacing w:line="620" w:lineRule="exact"/>
              <w:ind w:left="0" w:leftChars="0" w:firstLine="562" w:firstLineChars="200"/>
              <w:textAlignment w:val="auto"/>
              <w:outlineLvl w:val="1"/>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b/>
                <w:color w:val="auto"/>
                <w:sz w:val="28"/>
                <w:szCs w:val="28"/>
              </w:rPr>
              <w:t>文旅康养目的地。</w:t>
            </w:r>
            <w:r>
              <w:rPr>
                <w:rFonts w:hint="eastAsia" w:ascii="仿宋_GB2312" w:hAnsi="仿宋_GB2312" w:eastAsia="仿宋_GB2312" w:cs="仿宋_GB2312"/>
                <w:bCs/>
                <w:color w:val="auto"/>
                <w:sz w:val="28"/>
                <w:szCs w:val="28"/>
              </w:rPr>
              <w:t>以国家历史文化名城、皖浙天路、徽杭古道、</w:t>
            </w:r>
            <w:r>
              <w:rPr>
                <w:rFonts w:hint="eastAsia" w:ascii="仿宋_GB2312" w:hAnsi="仿宋_GB2312" w:eastAsia="仿宋_GB2312" w:cs="仿宋_GB2312"/>
                <w:bCs/>
                <w:color w:val="auto"/>
                <w:sz w:val="28"/>
                <w:szCs w:val="28"/>
                <w:lang w:val="en-US" w:eastAsia="zh-CN"/>
              </w:rPr>
              <w:t>鄣山大峡谷、绩溪</w:t>
            </w:r>
            <w:r>
              <w:rPr>
                <w:rFonts w:hint="eastAsia" w:ascii="仿宋_GB2312" w:hAnsi="仿宋_GB2312" w:eastAsia="仿宋_GB2312" w:cs="仿宋_GB2312"/>
                <w:bCs/>
                <w:color w:val="auto"/>
                <w:sz w:val="28"/>
                <w:szCs w:val="28"/>
              </w:rPr>
              <w:t>抽</w:t>
            </w:r>
            <w:r>
              <w:rPr>
                <w:rFonts w:hint="eastAsia" w:ascii="仿宋_GB2312" w:hAnsi="仿宋_GB2312" w:eastAsia="仿宋_GB2312" w:cs="仿宋_GB2312"/>
                <w:bCs/>
                <w:color w:val="auto"/>
                <w:sz w:val="28"/>
                <w:szCs w:val="28"/>
                <w:lang w:val="en-US" w:eastAsia="zh-CN"/>
              </w:rPr>
              <w:t>水</w:t>
            </w:r>
            <w:r>
              <w:rPr>
                <w:rFonts w:hint="eastAsia" w:ascii="仿宋_GB2312" w:hAnsi="仿宋_GB2312" w:eastAsia="仿宋_GB2312" w:cs="仿宋_GB2312"/>
                <w:bCs/>
                <w:color w:val="auto"/>
                <w:sz w:val="28"/>
                <w:szCs w:val="28"/>
              </w:rPr>
              <w:t>蓄</w:t>
            </w:r>
            <w:r>
              <w:rPr>
                <w:rFonts w:hint="eastAsia" w:ascii="仿宋_GB2312" w:hAnsi="仿宋_GB2312" w:eastAsia="仿宋_GB2312" w:cs="仿宋_GB2312"/>
                <w:bCs/>
                <w:color w:val="auto"/>
                <w:sz w:val="28"/>
                <w:szCs w:val="28"/>
                <w:lang w:val="en-US" w:eastAsia="zh-CN"/>
              </w:rPr>
              <w:t>能</w:t>
            </w:r>
            <w:r>
              <w:rPr>
                <w:rFonts w:hint="eastAsia" w:ascii="仿宋_GB2312" w:hAnsi="仿宋_GB2312" w:eastAsia="仿宋_GB2312" w:cs="仿宋_GB2312"/>
                <w:bCs/>
                <w:color w:val="auto"/>
                <w:sz w:val="28"/>
                <w:szCs w:val="28"/>
              </w:rPr>
              <w:t>电站、龙川、上庄等旅游资源为依托，深入挖掘文化内涵，打造以山水观光、</w:t>
            </w:r>
            <w:r>
              <w:rPr>
                <w:rFonts w:hint="eastAsia" w:ascii="仿宋_GB2312" w:hAnsi="仿宋_GB2312" w:eastAsia="仿宋_GB2312" w:cs="仿宋_GB2312"/>
                <w:bCs/>
                <w:color w:val="auto"/>
                <w:sz w:val="28"/>
                <w:szCs w:val="28"/>
                <w:lang w:val="en-US" w:eastAsia="zh-CN"/>
              </w:rPr>
              <w:t>户外运动、</w:t>
            </w:r>
            <w:r>
              <w:rPr>
                <w:rFonts w:hint="eastAsia" w:ascii="仿宋_GB2312" w:hAnsi="仿宋_GB2312" w:eastAsia="仿宋_GB2312" w:cs="仿宋_GB2312"/>
                <w:bCs/>
                <w:color w:val="auto"/>
                <w:sz w:val="28"/>
                <w:szCs w:val="28"/>
              </w:rPr>
              <w:t>文化体验、健康休闲养生为特色的旅游精品，推进文化旅游产业与杭州、黄山两地深度融合，创成国家全域旅游示范区，成为独具魅力、充满活力的长三角文旅康养目的地，不断提高绩溪美誉度。</w:t>
            </w:r>
          </w:p>
        </w:tc>
      </w:tr>
    </w:tbl>
    <w:p>
      <w:pPr>
        <w:pStyle w:val="2"/>
        <w:outlineLvl w:val="1"/>
        <w:rPr>
          <w:color w:val="auto"/>
        </w:rPr>
      </w:pPr>
    </w:p>
    <w:p>
      <w:pPr>
        <w:pStyle w:val="2"/>
        <w:keepNext w:val="0"/>
        <w:keepLines w:val="0"/>
        <w:pageBreakBefore w:val="0"/>
        <w:widowControl w:val="0"/>
        <w:kinsoku/>
        <w:wordWrap/>
        <w:overflowPunct/>
        <w:topLinePunct w:val="0"/>
        <w:autoSpaceDE w:val="0"/>
        <w:autoSpaceDN w:val="0"/>
        <w:bidi w:val="0"/>
        <w:adjustRightInd w:val="0"/>
        <w:snapToGrid/>
        <w:spacing w:line="240" w:lineRule="exact"/>
        <w:ind w:left="119"/>
        <w:textAlignment w:val="auto"/>
        <w:outlineLvl w:val="1"/>
        <w:rPr>
          <w:color w:val="auto"/>
        </w:rPr>
      </w:pPr>
    </w:p>
    <w:p>
      <w:pPr>
        <w:pStyle w:val="2"/>
        <w:keepNext w:val="0"/>
        <w:keepLines w:val="0"/>
        <w:pageBreakBefore w:val="0"/>
        <w:widowControl w:val="0"/>
        <w:kinsoku/>
        <w:wordWrap/>
        <w:overflowPunct/>
        <w:topLinePunct w:val="0"/>
        <w:autoSpaceDE w:val="0"/>
        <w:autoSpaceDN w:val="0"/>
        <w:bidi w:val="0"/>
        <w:adjustRightInd w:val="0"/>
        <w:snapToGrid/>
        <w:spacing w:line="240" w:lineRule="exact"/>
        <w:ind w:left="119"/>
        <w:textAlignment w:val="auto"/>
        <w:outlineLvl w:val="1"/>
        <w:rPr>
          <w:color w:val="auto"/>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75"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专栏4 五大专项行动</w:t>
            </w:r>
          </w:p>
        </w:tc>
      </w:tr>
      <w:tr>
        <w:tblPrEx>
          <w:tblCellMar>
            <w:top w:w="0" w:type="dxa"/>
            <w:left w:w="108" w:type="dxa"/>
            <w:bottom w:w="0" w:type="dxa"/>
            <w:right w:w="108" w:type="dxa"/>
          </w:tblCellMar>
        </w:tblPrEx>
        <w:trPr>
          <w:trHeight w:val="1"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620" w:lineRule="exact"/>
              <w:ind w:firstLine="55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产业质效突破行动。</w:t>
            </w:r>
            <w:r>
              <w:rPr>
                <w:rFonts w:hint="eastAsia" w:ascii="仿宋_GB2312" w:hAnsi="仿宋_GB2312" w:eastAsia="仿宋_GB2312" w:cs="仿宋_GB2312"/>
                <w:bCs/>
                <w:color w:val="auto"/>
                <w:sz w:val="28"/>
                <w:szCs w:val="28"/>
              </w:rPr>
              <w:t>落实发展战略，推进主导产业高质量发展。实行四个主导产业链长负责制，加快提升“双百”工程建设，推进一二三产业融合发展，实现经济发展质量变革、效率变革、动力变革。2025年，力争主导产业总产值达到400亿元。</w:t>
            </w:r>
          </w:p>
          <w:p>
            <w:pPr>
              <w:keepNext w:val="0"/>
              <w:keepLines w:val="0"/>
              <w:pageBreakBefore w:val="0"/>
              <w:widowControl w:val="0"/>
              <w:kinsoku/>
              <w:wordWrap/>
              <w:overflowPunct/>
              <w:topLinePunct w:val="0"/>
              <w:autoSpaceDE w:val="0"/>
              <w:autoSpaceDN w:val="0"/>
              <w:bidi w:val="0"/>
              <w:adjustRightInd w:val="0"/>
              <w:snapToGrid/>
              <w:spacing w:before="156" w:line="620" w:lineRule="exact"/>
              <w:ind w:firstLine="550"/>
              <w:textAlignment w:val="auto"/>
              <w:outlineLvl w:val="1"/>
              <w:rPr>
                <w:rFonts w:hint="eastAsia" w:ascii="仿宋_GB2312" w:hAnsi="仿宋_GB2312" w:eastAsia="仿宋_GB2312" w:cs="仿宋_GB2312"/>
                <w:b/>
                <w:color w:val="auto"/>
                <w:sz w:val="28"/>
                <w:szCs w:val="28"/>
              </w:rPr>
            </w:pPr>
          </w:p>
          <w:p>
            <w:pPr>
              <w:keepNext w:val="0"/>
              <w:keepLines w:val="0"/>
              <w:pageBreakBefore w:val="0"/>
              <w:widowControl w:val="0"/>
              <w:kinsoku/>
              <w:wordWrap/>
              <w:overflowPunct/>
              <w:topLinePunct w:val="0"/>
              <w:autoSpaceDE w:val="0"/>
              <w:autoSpaceDN w:val="0"/>
              <w:bidi w:val="0"/>
              <w:adjustRightInd w:val="0"/>
              <w:snapToGrid/>
              <w:spacing w:before="156" w:line="620" w:lineRule="exact"/>
              <w:ind w:firstLine="55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融杭接沪加速行动。</w:t>
            </w:r>
            <w:r>
              <w:rPr>
                <w:rFonts w:hint="eastAsia" w:ascii="仿宋_GB2312" w:hAnsi="仿宋_GB2312" w:eastAsia="仿宋_GB2312" w:cs="仿宋_GB2312"/>
                <w:bCs/>
                <w:color w:val="auto"/>
                <w:sz w:val="28"/>
                <w:szCs w:val="28"/>
              </w:rPr>
              <w:t>把区位优势变成发展优势，把地理前沿变成发展前沿，在长三角一体化发展中体现新担当、展现新作为。强化产业对接，强化区域合作，强化机制对接。2025年，力争外向型经济比重达到40%以上。</w:t>
            </w:r>
          </w:p>
          <w:p>
            <w:pPr>
              <w:keepNext w:val="0"/>
              <w:keepLines w:val="0"/>
              <w:pageBreakBefore w:val="0"/>
              <w:widowControl w:val="0"/>
              <w:kinsoku/>
              <w:wordWrap/>
              <w:overflowPunct/>
              <w:topLinePunct w:val="0"/>
              <w:autoSpaceDE w:val="0"/>
              <w:autoSpaceDN w:val="0"/>
              <w:bidi w:val="0"/>
              <w:adjustRightInd w:val="0"/>
              <w:snapToGrid/>
              <w:spacing w:before="156" w:line="600" w:lineRule="exact"/>
              <w:ind w:firstLine="55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科技创新转化行动。</w:t>
            </w:r>
            <w:r>
              <w:rPr>
                <w:rFonts w:hint="eastAsia" w:ascii="仿宋_GB2312" w:hAnsi="仿宋_GB2312" w:eastAsia="仿宋_GB2312" w:cs="仿宋_GB2312"/>
                <w:bCs/>
                <w:color w:val="auto"/>
                <w:sz w:val="28"/>
                <w:szCs w:val="28"/>
              </w:rPr>
              <w:t>坚持创新驱动发展理念，对接G60科创走廊，加快创新平台布局，走“科创+产业”道路，全面提高科技成果转化效率，为高质量发展提供强劲动能。2025年，力争科技贡献率达到65%以上。</w:t>
            </w:r>
          </w:p>
          <w:p>
            <w:pPr>
              <w:keepNext w:val="0"/>
              <w:keepLines w:val="0"/>
              <w:pageBreakBefore w:val="0"/>
              <w:widowControl w:val="0"/>
              <w:kinsoku/>
              <w:wordWrap/>
              <w:overflowPunct/>
              <w:topLinePunct w:val="0"/>
              <w:autoSpaceDE w:val="0"/>
              <w:autoSpaceDN w:val="0"/>
              <w:bidi w:val="0"/>
              <w:adjustRightInd w:val="0"/>
              <w:snapToGrid/>
              <w:spacing w:before="156" w:line="600" w:lineRule="exact"/>
              <w:ind w:firstLine="55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城市能级提升行动。</w:t>
            </w:r>
            <w:r>
              <w:rPr>
                <w:rFonts w:hint="eastAsia" w:ascii="仿宋_GB2312" w:hAnsi="仿宋_GB2312" w:eastAsia="仿宋_GB2312" w:cs="仿宋_GB2312"/>
                <w:bCs/>
                <w:color w:val="auto"/>
                <w:sz w:val="28"/>
                <w:szCs w:val="28"/>
              </w:rPr>
              <w:t>优化县城空间布局，紧抓县城补短板的机遇，增加公共产品供给，推进“城市大脑”建设。做靓老城区、做活新城区、做强开发区、做热旅游区。2025年，力争全县常住人口城镇化率达到60%以上。</w:t>
            </w:r>
          </w:p>
          <w:p>
            <w:pPr>
              <w:keepNext w:val="0"/>
              <w:keepLines w:val="0"/>
              <w:pageBreakBefore w:val="0"/>
              <w:widowControl w:val="0"/>
              <w:kinsoku/>
              <w:wordWrap/>
              <w:overflowPunct/>
              <w:topLinePunct w:val="0"/>
              <w:autoSpaceDE w:val="0"/>
              <w:autoSpaceDN w:val="0"/>
              <w:bidi w:val="0"/>
              <w:adjustRightInd w:val="0"/>
              <w:snapToGrid/>
              <w:spacing w:before="156" w:line="600" w:lineRule="exact"/>
              <w:ind w:firstLine="550"/>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乡村振兴示范行动。</w:t>
            </w:r>
            <w:r>
              <w:rPr>
                <w:rFonts w:hint="eastAsia" w:ascii="仿宋_GB2312" w:hAnsi="仿宋_GB2312" w:eastAsia="仿宋_GB2312" w:cs="仿宋_GB2312"/>
                <w:bCs/>
                <w:color w:val="auto"/>
                <w:sz w:val="28"/>
                <w:szCs w:val="28"/>
              </w:rPr>
              <w:t>推进脱贫攻坚与乡村振兴有效衔接，重点围绕推深做实乡村振兴“五百”工程，坚持系统谋划、统筹推进，确保我县乡村振兴走在省市前列。2025年，力争现代农业产业链产值达到150亿元。</w:t>
            </w:r>
          </w:p>
        </w:tc>
      </w:tr>
    </w:tbl>
    <w:p>
      <w:pPr>
        <w:pStyle w:val="2"/>
        <w:outlineLvl w:val="1"/>
        <w:rPr>
          <w:color w:val="auto"/>
        </w:rPr>
      </w:pPr>
    </w:p>
    <w:p>
      <w:pPr>
        <w:pStyle w:val="4"/>
        <w:spacing w:before="296" w:after="296" w:line="240" w:lineRule="auto"/>
        <w:ind w:left="0" w:leftChars="0" w:firstLine="0" w:firstLineChars="0"/>
        <w:jc w:val="center"/>
        <w:outlineLvl w:val="1"/>
        <w:rPr>
          <w:rFonts w:ascii="仿宋_GB2312" w:hAnsi="仿宋_GB2312" w:eastAsia="仿宋_GB2312" w:cs="仿宋_GB2312"/>
          <w:color w:val="auto"/>
        </w:rPr>
      </w:pPr>
      <w:bookmarkStart w:id="188" w:name="_Toc13843_WPSOffice_Level2"/>
      <w:bookmarkStart w:id="189" w:name="_Toc8376"/>
      <w:bookmarkStart w:id="190" w:name="_Toc13716"/>
      <w:r>
        <w:rPr>
          <w:rFonts w:hint="eastAsia" w:ascii="仿宋_GB2312" w:hAnsi="仿宋_GB2312" w:eastAsia="仿宋_GB2312" w:cs="仿宋_GB2312"/>
          <w:color w:val="auto"/>
        </w:rPr>
        <w:t xml:space="preserve">第四节 </w:t>
      </w:r>
      <w:bookmarkEnd w:id="132"/>
      <w:bookmarkEnd w:id="133"/>
      <w:bookmarkStart w:id="191" w:name="_Toc53304850"/>
      <w:bookmarkStart w:id="192" w:name="_Toc28488"/>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主要目标</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到</w:t>
      </w:r>
      <w:r>
        <w:rPr>
          <w:rFonts w:hint="eastAsia" w:ascii="仿宋_GB2312" w:hAnsi="仿宋_GB2312" w:eastAsia="仿宋_GB2312" w:cs="仿宋_GB2312"/>
          <w:b/>
          <w:bCs/>
          <w:color w:val="auto"/>
          <w:sz w:val="32"/>
          <w:szCs w:val="32"/>
          <w:lang w:val="en-US" w:eastAsia="zh-CN"/>
        </w:rPr>
        <w:t>2035</w:t>
      </w:r>
      <w:r>
        <w:rPr>
          <w:rFonts w:hint="eastAsia" w:ascii="仿宋_GB2312" w:hAnsi="仿宋_GB2312" w:eastAsia="仿宋_GB2312" w:cs="仿宋_GB2312"/>
          <w:b/>
          <w:bCs/>
          <w:color w:val="auto"/>
          <w:sz w:val="32"/>
          <w:szCs w:val="32"/>
        </w:rPr>
        <w:t>年基本实现社会主义现代化远景目标。</w:t>
      </w:r>
      <w:r>
        <w:rPr>
          <w:rFonts w:hint="eastAsia" w:ascii="仿宋_GB2312" w:hAnsi="仿宋_GB2312" w:eastAsia="仿宋_GB2312" w:cs="仿宋_GB2312"/>
          <w:color w:val="auto"/>
          <w:sz w:val="32"/>
          <w:szCs w:val="32"/>
        </w:rPr>
        <w:t>按照党的十九大对实现第二个百年奋斗目标分两个阶段推进的战略安排，展望到</w:t>
      </w:r>
      <w:r>
        <w:rPr>
          <w:rFonts w:hint="eastAsia" w:ascii="仿宋_GB2312" w:hAnsi="仿宋_GB2312" w:eastAsia="仿宋_GB2312" w:cs="仿宋_GB2312"/>
          <w:color w:val="auto"/>
          <w:sz w:val="32"/>
          <w:szCs w:val="32"/>
          <w:lang w:val="en-US" w:eastAsia="zh-CN"/>
        </w:rPr>
        <w:t>2035</w:t>
      </w:r>
      <w:r>
        <w:rPr>
          <w:rFonts w:hint="eastAsia" w:ascii="仿宋_GB2312" w:hAnsi="仿宋_GB2312" w:eastAsia="仿宋_GB2312" w:cs="仿宋_GB2312"/>
          <w:color w:val="auto"/>
          <w:sz w:val="32"/>
          <w:szCs w:val="32"/>
        </w:rPr>
        <w:t>年，我县经济实力、科技实力、综合实力迈上新台阶，经济总量和城乡居民人均收入较</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翻一番以上，人均地区生产总值力争基本达到长三角平均水平，特色产业体系基本形成，与沪苏浙一体化发展机制高效运行，创新创业创造活力充分释放，皖东南区域交通枢纽功能进一步完善，基本公共服务水平趋于均衡，生态环境质量继续保持全省领先，治理体系和治理能力现代化基本实现，全县人民共同富裕取得更为明显的实质性进展，生活品质持续提升，美丽中国先行区、绿色发展样板区和文旅康养目的地基本建成。</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“十四五”时期经济社会发展目标：</w:t>
      </w:r>
      <w:r>
        <w:rPr>
          <w:rFonts w:hint="eastAsia" w:ascii="仿宋_GB2312" w:hAnsi="仿宋_GB2312" w:eastAsia="仿宋_GB2312" w:cs="仿宋_GB2312"/>
          <w:color w:val="auto"/>
          <w:sz w:val="32"/>
          <w:szCs w:val="32"/>
        </w:rPr>
        <w:t>锚定</w:t>
      </w:r>
      <w:r>
        <w:rPr>
          <w:rFonts w:hint="eastAsia" w:ascii="仿宋_GB2312" w:hAnsi="仿宋_GB2312" w:eastAsia="仿宋_GB2312" w:cs="仿宋_GB2312"/>
          <w:color w:val="auto"/>
          <w:sz w:val="32"/>
          <w:szCs w:val="32"/>
          <w:lang w:val="en-US" w:eastAsia="zh-CN"/>
        </w:rPr>
        <w:t>2035</w:t>
      </w:r>
      <w:r>
        <w:rPr>
          <w:rFonts w:hint="eastAsia" w:ascii="仿宋_GB2312" w:hAnsi="仿宋_GB2312" w:eastAsia="仿宋_GB2312" w:cs="仿宋_GB2312"/>
          <w:color w:val="auto"/>
          <w:sz w:val="32"/>
          <w:szCs w:val="32"/>
        </w:rPr>
        <w:t>年远景目标，贯彻习近平总书记考察安徽提出的强化“两个坚持</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、实现“两个更大”目标要求，坚定不移地朝着全域美、产业强、百姓富</w:t>
      </w:r>
      <w:r>
        <w:rPr>
          <w:rFonts w:hint="eastAsia" w:ascii="仿宋_GB2312" w:hAnsi="仿宋_GB2312" w:eastAsia="仿宋_GB2312" w:cs="仿宋_GB2312"/>
          <w:color w:val="auto"/>
          <w:sz w:val="32"/>
          <w:szCs w:val="32"/>
          <w:lang w:eastAsia="zh-CN"/>
        </w:rPr>
        <w:t>新时代</w:t>
      </w:r>
      <w:r>
        <w:rPr>
          <w:rFonts w:hint="eastAsia" w:ascii="仿宋_GB2312" w:hAnsi="仿宋_GB2312" w:eastAsia="仿宋_GB2312" w:cs="仿宋_GB2312"/>
          <w:color w:val="auto"/>
          <w:sz w:val="32"/>
          <w:szCs w:val="32"/>
        </w:rPr>
        <w:t>美丽幸福绩溪目标迈进。</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一是综合实力实现更大跃升。</w:t>
      </w:r>
      <w:r>
        <w:rPr>
          <w:rFonts w:hint="eastAsia" w:ascii="仿宋_GB2312" w:hAnsi="仿宋_GB2312" w:eastAsia="仿宋_GB2312" w:cs="仿宋_GB2312"/>
          <w:color w:val="auto"/>
          <w:sz w:val="32"/>
          <w:szCs w:val="32"/>
        </w:rPr>
        <w:t>积极争先进位，实现主要经济指标增速高于全国和省、市平均水平，</w:t>
      </w:r>
      <w:r>
        <w:rPr>
          <w:rFonts w:hint="eastAsia" w:ascii="Times New Roman" w:hAnsi="Times New Roman" w:eastAsia="仿宋_GB2312"/>
          <w:color w:val="auto"/>
          <w:sz w:val="32"/>
          <w:szCs w:val="32"/>
        </w:rPr>
        <w:t>地区生产总值年均增长</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左右</w:t>
      </w:r>
      <w:r>
        <w:rPr>
          <w:rFonts w:hint="eastAsia" w:ascii="仿宋_GB2312" w:hAnsi="仿宋_GB2312" w:eastAsia="仿宋_GB2312" w:cs="仿宋_GB2312"/>
          <w:color w:val="auto"/>
          <w:sz w:val="32"/>
          <w:szCs w:val="32"/>
        </w:rPr>
        <w:t>。创新能力不断提升，</w:t>
      </w:r>
      <w:r>
        <w:rPr>
          <w:rFonts w:hint="eastAsia" w:ascii="Times New Roman" w:hAnsi="Times New Roman" w:eastAsia="仿宋_GB2312"/>
          <w:color w:val="auto"/>
          <w:sz w:val="32"/>
          <w:szCs w:val="32"/>
        </w:rPr>
        <w:t>高技术产业增加值年均增长</w:t>
      </w:r>
      <w:r>
        <w:rPr>
          <w:rFonts w:hint="eastAsia" w:ascii="Times New Roman" w:hAnsi="Times New Roman" w:eastAsia="仿宋_GB2312"/>
          <w:color w:val="auto"/>
          <w:sz w:val="32"/>
          <w:szCs w:val="32"/>
          <w:lang w:val="en-US" w:eastAsia="zh-CN"/>
        </w:rPr>
        <w:t>20</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以上</w:t>
      </w:r>
      <w:r>
        <w:rPr>
          <w:rFonts w:hint="eastAsia" w:ascii="Times New Roman" w:hAnsi="Times New Roman" w:eastAsia="仿宋_GB2312"/>
          <w:color w:val="auto"/>
          <w:sz w:val="32"/>
          <w:szCs w:val="32"/>
        </w:rPr>
        <w:t>，</w:t>
      </w:r>
      <w:r>
        <w:rPr>
          <w:rFonts w:hint="eastAsia" w:ascii="仿宋_GB2312" w:hAnsi="仿宋_GB2312" w:eastAsia="仿宋_GB2312" w:cs="仿宋_GB2312"/>
          <w:color w:val="auto"/>
          <w:sz w:val="32"/>
          <w:szCs w:val="32"/>
        </w:rPr>
        <w:t>战略性新兴产业产值</w:t>
      </w:r>
      <w:r>
        <w:rPr>
          <w:rFonts w:hint="eastAsia" w:ascii="Times New Roman" w:hAnsi="Times New Roman" w:eastAsia="仿宋_GB2312"/>
          <w:color w:val="auto"/>
          <w:sz w:val="32"/>
          <w:szCs w:val="32"/>
        </w:rPr>
        <w:t>年均增幅</w:t>
      </w:r>
      <w:r>
        <w:rPr>
          <w:rFonts w:hint="eastAsia" w:ascii="Times New Roman" w:hAnsi="Times New Roman" w:eastAsia="仿宋_GB2312"/>
          <w:color w:val="auto"/>
          <w:sz w:val="32"/>
          <w:szCs w:val="32"/>
          <w:lang w:val="en-US" w:eastAsia="zh-CN"/>
        </w:rPr>
        <w:t>15</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以上</w:t>
      </w:r>
      <w:r>
        <w:rPr>
          <w:rFonts w:hint="eastAsia" w:ascii="Times New Roman" w:hAnsi="Times New Roman" w:eastAsia="仿宋_GB2312"/>
          <w:color w:val="auto"/>
          <w:sz w:val="32"/>
          <w:szCs w:val="32"/>
        </w:rPr>
        <w:t>。城乡区域发展协同性明显增强，常住人口城镇化率达到</w:t>
      </w:r>
      <w:r>
        <w:rPr>
          <w:rFonts w:hint="eastAsia" w:ascii="Times New Roman" w:hAnsi="Times New Roman" w:eastAsia="仿宋_GB2312"/>
          <w:color w:val="auto"/>
          <w:sz w:val="32"/>
          <w:szCs w:val="32"/>
          <w:lang w:val="en-US" w:eastAsia="zh-CN"/>
        </w:rPr>
        <w:t>60</w:t>
      </w:r>
      <w:r>
        <w:rPr>
          <w:rFonts w:hint="eastAsia" w:ascii="Times New Roman" w:hAnsi="Times New Roman" w:eastAsia="仿宋_GB2312"/>
          <w:color w:val="auto"/>
          <w:sz w:val="32"/>
          <w:szCs w:val="32"/>
        </w:rPr>
        <w:t>%。在质量效益明显提升的基</w:t>
      </w:r>
      <w:r>
        <w:rPr>
          <w:rFonts w:hint="eastAsia" w:ascii="仿宋_GB2312" w:hAnsi="仿宋_GB2312" w:eastAsia="仿宋_GB2312" w:cs="仿宋_GB2312"/>
          <w:color w:val="auto"/>
          <w:sz w:val="32"/>
          <w:szCs w:val="32"/>
        </w:rPr>
        <w:t>础上实现经济持续健康发展。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二是融杭接沪实现更大突破。</w:t>
      </w:r>
      <w:r>
        <w:rPr>
          <w:rFonts w:hint="eastAsia" w:ascii="仿宋_GB2312" w:hAnsi="仿宋_GB2312" w:eastAsia="仿宋_GB2312" w:cs="仿宋_GB2312"/>
          <w:color w:val="auto"/>
          <w:sz w:val="32"/>
          <w:szCs w:val="32"/>
        </w:rPr>
        <w:t>“放管服”改革持续深化，着力破除瓶颈制约，全力创优营商环境；对外合作不断拓展，在区域合作、产业分工协作、生态环境共保、创优发展环境、民生共享、社会共治等方面取得新进展，全方位、多层次、大融合的合作共建格局加快形成。实际利用外资和进出口总额年均增长分别达</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三是文明程度实现更大进步。</w:t>
      </w:r>
      <w:r>
        <w:rPr>
          <w:rFonts w:hint="eastAsia" w:ascii="仿宋_GB2312" w:hAnsi="仿宋_GB2312" w:eastAsia="仿宋_GB2312" w:cs="仿宋_GB2312"/>
          <w:color w:val="auto"/>
          <w:sz w:val="32"/>
          <w:szCs w:val="32"/>
        </w:rPr>
        <w:t>人民思想道德素质、科学文化素质和身心健康素质明显提高，公共文化服务体系和文化产业体系更加健全，我县优秀传统文化影响力持续增强。</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四是绿色发展实现更大成效。</w:t>
      </w:r>
      <w:r>
        <w:rPr>
          <w:rFonts w:hint="eastAsia" w:ascii="仿宋_GB2312" w:hAnsi="仿宋_GB2312" w:eastAsia="仿宋_GB2312" w:cs="仿宋_GB2312"/>
          <w:color w:val="auto"/>
          <w:sz w:val="32"/>
          <w:szCs w:val="32"/>
        </w:rPr>
        <w:t>坚持生态优先、绿色发展，主要生态环境指标保持全省前列，全社会绿色转型成效明显，生态文明制度体系更加完善，美丽中国“绩溪样板”建设取得显著成效。森林覆盖率保持在78.3%。</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五是民生福祉实现更大改善。</w:t>
      </w:r>
      <w:r>
        <w:rPr>
          <w:rFonts w:hint="eastAsia" w:ascii="仿宋_GB2312" w:hAnsi="仿宋_GB2312" w:eastAsia="仿宋_GB2312" w:cs="仿宋_GB2312"/>
          <w:color w:val="auto"/>
          <w:sz w:val="32"/>
          <w:szCs w:val="32"/>
        </w:rPr>
        <w:t>民生投入持续加大，就业实现更高质量，社会保障更加充分，基本公共服务均等化水平稳步提高，公共卫生体系更加完善，脱贫成果巩固拓展，乡村振兴全面推进，城乡居民收入增速快于经济增速，人民群众获得感、幸福感、安全感显著增强。城镇居民人均可支配收入</w:t>
      </w:r>
      <w:r>
        <w:rPr>
          <w:rFonts w:hint="eastAsia" w:ascii="仿宋_GB2312" w:hAnsi="仿宋_GB2312" w:eastAsia="仿宋_GB2312" w:cs="仿宋_GB2312"/>
          <w:color w:val="auto"/>
          <w:sz w:val="32"/>
          <w:szCs w:val="32"/>
          <w:lang w:val="en-US" w:eastAsia="zh-CN"/>
        </w:rPr>
        <w:t>年平均增幅7.5%</w:t>
      </w:r>
      <w:r>
        <w:rPr>
          <w:rFonts w:hint="eastAsia" w:ascii="仿宋_GB2312" w:hAnsi="仿宋_GB2312" w:eastAsia="仿宋_GB2312" w:cs="仿宋_GB2312"/>
          <w:color w:val="auto"/>
          <w:sz w:val="32"/>
          <w:szCs w:val="32"/>
        </w:rPr>
        <w:t>，农村居民人均可支配收入</w:t>
      </w:r>
      <w:r>
        <w:rPr>
          <w:rFonts w:hint="eastAsia" w:ascii="仿宋_GB2312" w:hAnsi="仿宋_GB2312" w:eastAsia="仿宋_GB2312" w:cs="仿宋_GB2312"/>
          <w:color w:val="auto"/>
          <w:sz w:val="32"/>
          <w:szCs w:val="32"/>
          <w:lang w:val="en-US" w:eastAsia="zh-CN"/>
        </w:rPr>
        <w:t>年平均增幅8.5%</w:t>
      </w:r>
      <w:r>
        <w:rPr>
          <w:rFonts w:hint="eastAsia" w:ascii="仿宋_GB2312" w:hAnsi="仿宋_GB2312" w:eastAsia="仿宋_GB2312" w:cs="仿宋_GB2312"/>
          <w:color w:val="auto"/>
          <w:sz w:val="32"/>
          <w:szCs w:val="32"/>
        </w:rPr>
        <w:t>，城镇登记失业率</w:t>
      </w:r>
      <w:r>
        <w:rPr>
          <w:rFonts w:hint="eastAsia" w:ascii="仿宋_GB2312" w:hAnsi="仿宋_GB2312" w:eastAsia="仿宋_GB2312" w:cs="仿宋_GB2312"/>
          <w:color w:val="auto"/>
          <w:sz w:val="32"/>
          <w:szCs w:val="32"/>
          <w:lang w:val="en-US" w:eastAsia="zh-CN"/>
        </w:rPr>
        <w:t>控制在</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%以下。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六是社会治理实现更大提升。</w:t>
      </w:r>
      <w:r>
        <w:rPr>
          <w:rFonts w:hint="eastAsia" w:ascii="仿宋_GB2312" w:hAnsi="仿宋_GB2312" w:eastAsia="仿宋_GB2312" w:cs="仿宋_GB2312"/>
          <w:color w:val="auto"/>
          <w:sz w:val="32"/>
          <w:szCs w:val="32"/>
        </w:rPr>
        <w:t>努力实现总体国家安全观深入人心，平安绩溪建设不断深化，法治绩溪、法治政府、法治社会一体建设，人人有责、人人尽责、人人享有的社会治理共同体基本建成。</w:t>
      </w:r>
    </w:p>
    <w:p>
      <w:pPr>
        <w:jc w:val="center"/>
        <w:outlineLvl w:val="1"/>
        <w:rPr>
          <w:rFonts w:ascii="仿宋" w:hAnsi="仿宋" w:eastAsia="仿宋"/>
          <w:b/>
          <w:color w:val="auto"/>
          <w:sz w:val="32"/>
          <w:szCs w:val="32"/>
        </w:rPr>
      </w:pPr>
      <w:r>
        <w:rPr>
          <w:rFonts w:hint="eastAsia" w:ascii="仿宋" w:hAnsi="仿宋" w:eastAsia="仿宋"/>
          <w:b/>
          <w:color w:val="auto"/>
          <w:sz w:val="32"/>
          <w:szCs w:val="32"/>
        </w:rPr>
        <w:t>专栏5 绩溪县</w:t>
      </w:r>
      <w:r>
        <w:rPr>
          <w:rFonts w:ascii="仿宋" w:hAnsi="仿宋" w:eastAsia="仿宋"/>
          <w:b/>
          <w:color w:val="auto"/>
          <w:sz w:val="32"/>
          <w:szCs w:val="32"/>
        </w:rPr>
        <w:t>“十四五”经济社会发展主要目标</w:t>
      </w:r>
    </w:p>
    <w:p>
      <w:pPr>
        <w:pStyle w:val="2"/>
        <w:outlineLvl w:val="1"/>
        <w:rPr>
          <w:color w:val="auto"/>
        </w:rPr>
      </w:pPr>
    </w:p>
    <w:tbl>
      <w:tblPr>
        <w:tblStyle w:val="14"/>
        <w:tblW w:w="9857" w:type="dxa"/>
        <w:jc w:val="center"/>
        <w:tblLayout w:type="fixed"/>
        <w:tblCellMar>
          <w:top w:w="0" w:type="dxa"/>
          <w:left w:w="108" w:type="dxa"/>
          <w:bottom w:w="0" w:type="dxa"/>
          <w:right w:w="108" w:type="dxa"/>
        </w:tblCellMar>
      </w:tblPr>
      <w:tblGrid>
        <w:gridCol w:w="4811"/>
        <w:gridCol w:w="1255"/>
        <w:gridCol w:w="1310"/>
        <w:gridCol w:w="1269"/>
        <w:gridCol w:w="1212"/>
      </w:tblGrid>
      <w:tr>
        <w:tblPrEx>
          <w:tblCellMar>
            <w:top w:w="0" w:type="dxa"/>
            <w:left w:w="108" w:type="dxa"/>
            <w:bottom w:w="0" w:type="dxa"/>
            <w:right w:w="108" w:type="dxa"/>
          </w:tblCellMar>
        </w:tblPrEx>
        <w:trPr>
          <w:trHeight w:val="984"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b/>
                <w:color w:val="auto"/>
                <w:sz w:val="28"/>
                <w:szCs w:val="28"/>
              </w:rPr>
            </w:pPr>
            <w:bookmarkStart w:id="193" w:name="_Toc28012"/>
            <w:r>
              <w:rPr>
                <w:rFonts w:hint="eastAsia" w:ascii="仿宋_GB2312" w:hAnsi="仿宋_GB2312" w:eastAsia="仿宋_GB2312" w:cs="仿宋_GB2312"/>
                <w:b/>
                <w:color w:val="auto"/>
                <w:sz w:val="28"/>
                <w:szCs w:val="28"/>
              </w:rPr>
              <w:t>指    标</w:t>
            </w: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pacing w:val="-11"/>
                <w:sz w:val="28"/>
                <w:szCs w:val="28"/>
              </w:rPr>
              <w:t>2020年</w:t>
            </w:r>
            <w:r>
              <w:rPr>
                <w:rFonts w:hint="eastAsia" w:ascii="仿宋_GB2312" w:hAnsi="仿宋_GB2312" w:eastAsia="仿宋_GB2312" w:cs="仿宋_GB2312"/>
                <w:b/>
                <w:color w:val="auto"/>
                <w:spacing w:val="-11"/>
                <w:sz w:val="28"/>
                <w:szCs w:val="28"/>
                <w:lang w:val="en-US" w:eastAsia="zh-CN"/>
              </w:rPr>
              <w:t>实际</w:t>
            </w:r>
          </w:p>
        </w:tc>
        <w:tc>
          <w:tcPr>
            <w:tcW w:w="1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pacing w:val="-11"/>
                <w:sz w:val="28"/>
                <w:szCs w:val="28"/>
              </w:rPr>
              <w:t>2025年   目标</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pacing w:val="-11"/>
                <w:sz w:val="28"/>
                <w:szCs w:val="28"/>
              </w:rPr>
              <w:t>年均增长（%）</w:t>
            </w:r>
          </w:p>
        </w:tc>
        <w:tc>
          <w:tcPr>
            <w:tcW w:w="12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属 性</w:t>
            </w:r>
          </w:p>
        </w:tc>
      </w:tr>
      <w:tr>
        <w:tblPrEx>
          <w:tblCellMar>
            <w:top w:w="0" w:type="dxa"/>
            <w:left w:w="108" w:type="dxa"/>
            <w:bottom w:w="0" w:type="dxa"/>
            <w:right w:w="108" w:type="dxa"/>
          </w:tblCellMar>
        </w:tblPrEx>
        <w:trPr>
          <w:trHeight w:val="583" w:hRule="atLeast"/>
          <w:jc w:val="center"/>
        </w:trPr>
        <w:tc>
          <w:tcPr>
            <w:tcW w:w="9857" w:type="dxa"/>
            <w:gridSpan w:val="5"/>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left"/>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一、经济发展</w:t>
            </w:r>
          </w:p>
        </w:tc>
      </w:tr>
      <w:tr>
        <w:tblPrEx>
          <w:tblCellMar>
            <w:top w:w="0" w:type="dxa"/>
            <w:left w:w="108" w:type="dxa"/>
            <w:bottom w:w="0" w:type="dxa"/>
            <w:right w:w="108" w:type="dxa"/>
          </w:tblCellMar>
        </w:tblPrEx>
        <w:trPr>
          <w:trHeight w:val="569"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地区生产总值（亿元）</w:t>
            </w: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88.3</w:t>
            </w:r>
          </w:p>
        </w:tc>
        <w:tc>
          <w:tcPr>
            <w:tcW w:w="1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sz w:val="28"/>
                <w:szCs w:val="28"/>
              </w:rPr>
              <w:t>——</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左右</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CellMar>
            <w:top w:w="0" w:type="dxa"/>
            <w:left w:w="108" w:type="dxa"/>
            <w:bottom w:w="0" w:type="dxa"/>
            <w:right w:w="108" w:type="dxa"/>
          </w:tblCellMar>
        </w:tblPrEx>
        <w:trPr>
          <w:trHeight w:val="596"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人均地区生产总值（万元）</w:t>
            </w: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5.2</w:t>
            </w:r>
          </w:p>
        </w:tc>
        <w:tc>
          <w:tcPr>
            <w:tcW w:w="1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7.5</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CellMar>
            <w:top w:w="0" w:type="dxa"/>
            <w:left w:w="108" w:type="dxa"/>
            <w:bottom w:w="0" w:type="dxa"/>
            <w:right w:w="108" w:type="dxa"/>
          </w:tblCellMar>
        </w:tblPrEx>
        <w:trPr>
          <w:trHeight w:val="583"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规模以上工业增加值增</w:t>
            </w:r>
            <w:r>
              <w:rPr>
                <w:rFonts w:hint="eastAsia" w:ascii="仿宋_GB2312" w:hAnsi="仿宋_GB2312" w:eastAsia="仿宋_GB2312" w:cs="仿宋_GB2312"/>
                <w:color w:val="auto"/>
                <w:sz w:val="28"/>
                <w:szCs w:val="28"/>
                <w:lang w:val="en-US" w:eastAsia="zh-CN"/>
              </w:rPr>
              <w:t>长</w:t>
            </w:r>
            <w:r>
              <w:rPr>
                <w:rFonts w:hint="eastAsia" w:ascii="仿宋_GB2312" w:hAnsi="仿宋_GB2312" w:eastAsia="仿宋_GB2312" w:cs="仿宋_GB2312"/>
                <w:color w:val="auto"/>
                <w:sz w:val="28"/>
                <w:szCs w:val="28"/>
              </w:rPr>
              <w:t>（%）</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10左右</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CellMar>
            <w:top w:w="0" w:type="dxa"/>
            <w:left w:w="108" w:type="dxa"/>
            <w:bottom w:w="0" w:type="dxa"/>
            <w:right w:w="108" w:type="dxa"/>
          </w:tblCellMar>
        </w:tblPrEx>
        <w:trPr>
          <w:trHeight w:val="596"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常住人口城镇化率（%）</w:t>
            </w: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55</w:t>
            </w:r>
          </w:p>
        </w:tc>
        <w:tc>
          <w:tcPr>
            <w:tcW w:w="1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60</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CellMar>
            <w:top w:w="0" w:type="dxa"/>
            <w:left w:w="108" w:type="dxa"/>
            <w:bottom w:w="0" w:type="dxa"/>
            <w:right w:w="108" w:type="dxa"/>
          </w:tblCellMar>
        </w:tblPrEx>
        <w:trPr>
          <w:trHeight w:val="582"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固定资产投资增</w:t>
            </w:r>
            <w:r>
              <w:rPr>
                <w:rFonts w:hint="eastAsia" w:ascii="仿宋_GB2312" w:hAnsi="仿宋_GB2312" w:eastAsia="仿宋_GB2312" w:cs="仿宋_GB2312"/>
                <w:color w:val="auto"/>
                <w:sz w:val="28"/>
                <w:szCs w:val="28"/>
                <w:lang w:val="en-US" w:eastAsia="zh-CN"/>
              </w:rPr>
              <w:t>长</w:t>
            </w:r>
            <w:r>
              <w:rPr>
                <w:rFonts w:hint="eastAsia" w:ascii="仿宋_GB2312" w:hAnsi="仿宋_GB2312" w:eastAsia="仿宋_GB2312" w:cs="仿宋_GB2312"/>
                <w:color w:val="auto"/>
                <w:sz w:val="28"/>
                <w:szCs w:val="28"/>
              </w:rPr>
              <w:t>（%）</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10左右</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CellMar>
            <w:top w:w="0" w:type="dxa"/>
            <w:left w:w="108" w:type="dxa"/>
            <w:bottom w:w="0" w:type="dxa"/>
            <w:right w:w="108" w:type="dxa"/>
          </w:tblCellMar>
        </w:tblPrEx>
        <w:trPr>
          <w:trHeight w:val="569"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进出口总额增</w:t>
            </w:r>
            <w:r>
              <w:rPr>
                <w:rFonts w:hint="eastAsia" w:ascii="仿宋_GB2312" w:hAnsi="仿宋_GB2312" w:eastAsia="仿宋_GB2312" w:cs="仿宋_GB2312"/>
                <w:color w:val="auto"/>
                <w:sz w:val="28"/>
                <w:szCs w:val="28"/>
                <w:lang w:val="en-US" w:eastAsia="zh-CN"/>
              </w:rPr>
              <w:t>长</w:t>
            </w:r>
            <w:r>
              <w:rPr>
                <w:rFonts w:hint="eastAsia" w:ascii="仿宋_GB2312" w:hAnsi="仿宋_GB2312" w:eastAsia="仿宋_GB2312" w:cs="仿宋_GB2312"/>
                <w:color w:val="auto"/>
                <w:sz w:val="28"/>
                <w:szCs w:val="28"/>
              </w:rPr>
              <w:t>（%）</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7左右</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CellMar>
            <w:top w:w="0" w:type="dxa"/>
            <w:left w:w="108" w:type="dxa"/>
            <w:bottom w:w="0" w:type="dxa"/>
            <w:right w:w="108" w:type="dxa"/>
          </w:tblCellMar>
        </w:tblPrEx>
        <w:trPr>
          <w:trHeight w:val="555"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旅游接待人次（万人次)</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1094</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1762</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10</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CellMar>
            <w:top w:w="0" w:type="dxa"/>
            <w:left w:w="108" w:type="dxa"/>
            <w:bottom w:w="0" w:type="dxa"/>
            <w:right w:w="108" w:type="dxa"/>
          </w:tblCellMar>
        </w:tblPrEx>
        <w:trPr>
          <w:trHeight w:val="610"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社会消费品零售总额增</w:t>
            </w:r>
            <w:r>
              <w:rPr>
                <w:rFonts w:hint="eastAsia" w:ascii="仿宋_GB2312" w:hAnsi="仿宋_GB2312" w:eastAsia="仿宋_GB2312" w:cs="仿宋_GB2312"/>
                <w:color w:val="auto"/>
                <w:sz w:val="28"/>
                <w:szCs w:val="28"/>
                <w:lang w:val="en-US" w:eastAsia="zh-CN"/>
              </w:rPr>
              <w:t>长</w:t>
            </w:r>
            <w:r>
              <w:rPr>
                <w:rFonts w:hint="eastAsia" w:ascii="仿宋_GB2312" w:hAnsi="仿宋_GB2312" w:eastAsia="仿宋_GB2312" w:cs="仿宋_GB2312"/>
                <w:color w:val="auto"/>
                <w:sz w:val="28"/>
                <w:szCs w:val="28"/>
              </w:rPr>
              <w:t>（%）</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8左右</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CellMar>
            <w:top w:w="0" w:type="dxa"/>
            <w:left w:w="108" w:type="dxa"/>
            <w:bottom w:w="0" w:type="dxa"/>
            <w:right w:w="108" w:type="dxa"/>
          </w:tblCellMar>
        </w:tblPrEx>
        <w:trPr>
          <w:trHeight w:val="675" w:hRule="atLeast"/>
          <w:jc w:val="center"/>
        </w:trPr>
        <w:tc>
          <w:tcPr>
            <w:tcW w:w="9857" w:type="dxa"/>
            <w:gridSpan w:val="5"/>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lef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二、创新驱动</w:t>
            </w:r>
          </w:p>
        </w:tc>
      </w:tr>
      <w:tr>
        <w:tblPrEx>
          <w:tblCellMar>
            <w:top w:w="0" w:type="dxa"/>
            <w:left w:w="108" w:type="dxa"/>
            <w:bottom w:w="0" w:type="dxa"/>
            <w:right w:w="108" w:type="dxa"/>
          </w:tblCellMar>
        </w:tblPrEx>
        <w:trPr>
          <w:trHeight w:val="614"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研发经费</w:t>
            </w:r>
            <w:r>
              <w:rPr>
                <w:rFonts w:hint="eastAsia" w:ascii="仿宋_GB2312" w:hAnsi="仿宋_GB2312" w:eastAsia="仿宋_GB2312" w:cs="仿宋_GB2312"/>
                <w:color w:val="auto"/>
                <w:sz w:val="28"/>
                <w:szCs w:val="28"/>
                <w:lang w:val="en-US" w:eastAsia="zh-CN"/>
              </w:rPr>
              <w:t>投入增长</w:t>
            </w:r>
            <w:r>
              <w:rPr>
                <w:rFonts w:hint="eastAsia" w:ascii="仿宋_GB2312" w:hAnsi="仿宋_GB2312" w:eastAsia="仿宋_GB2312" w:cs="仿宋_GB2312"/>
                <w:color w:val="auto"/>
                <w:sz w:val="28"/>
                <w:szCs w:val="28"/>
              </w:rPr>
              <w:t>（%）</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12</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CellMar>
            <w:top w:w="0" w:type="dxa"/>
            <w:left w:w="108" w:type="dxa"/>
            <w:bottom w:w="0" w:type="dxa"/>
            <w:right w:w="108" w:type="dxa"/>
          </w:tblCellMar>
        </w:tblPrEx>
        <w:trPr>
          <w:trHeight w:val="623"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战略性新兴产业产值增</w:t>
            </w:r>
            <w:r>
              <w:rPr>
                <w:rFonts w:hint="eastAsia" w:ascii="仿宋_GB2312" w:hAnsi="仿宋_GB2312" w:eastAsia="仿宋_GB2312" w:cs="仿宋_GB2312"/>
                <w:color w:val="auto"/>
                <w:sz w:val="28"/>
                <w:szCs w:val="28"/>
                <w:lang w:val="en-US" w:eastAsia="zh-CN"/>
              </w:rPr>
              <w:t>长</w:t>
            </w:r>
            <w:r>
              <w:rPr>
                <w:rFonts w:hint="eastAsia" w:ascii="仿宋_GB2312" w:hAnsi="仿宋_GB2312" w:eastAsia="仿宋_GB2312" w:cs="仿宋_GB2312"/>
                <w:color w:val="auto"/>
                <w:sz w:val="28"/>
                <w:szCs w:val="28"/>
              </w:rPr>
              <w:t>（%）</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15以上</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0" w:leftChars="0" w:firstLine="0" w:firstLineChars="0"/>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战略性新兴产业产值占规模以上工业产值比重（%）</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52.7</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53</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数字经济</w:t>
            </w:r>
            <w:r>
              <w:rPr>
                <w:rFonts w:hint="eastAsia" w:ascii="仿宋_GB2312" w:hAnsi="仿宋_GB2312" w:eastAsia="仿宋_GB2312" w:cs="仿宋_GB2312"/>
                <w:color w:val="auto"/>
                <w:sz w:val="28"/>
                <w:szCs w:val="28"/>
                <w:lang w:val="en-US" w:eastAsia="zh-CN"/>
              </w:rPr>
              <w:t>核心产业增加</w:t>
            </w:r>
            <w:r>
              <w:rPr>
                <w:rFonts w:hint="eastAsia" w:ascii="仿宋_GB2312" w:hAnsi="仿宋_GB2312" w:eastAsia="仿宋_GB2312" w:cs="仿宋_GB2312"/>
                <w:color w:val="auto"/>
                <w:sz w:val="28"/>
                <w:szCs w:val="28"/>
              </w:rPr>
              <w:t>值</w:t>
            </w:r>
            <w:r>
              <w:rPr>
                <w:rFonts w:hint="eastAsia" w:ascii="仿宋_GB2312" w:hAnsi="仿宋_GB2312" w:eastAsia="仿宋_GB2312" w:cs="仿宋_GB2312"/>
                <w:color w:val="auto"/>
                <w:sz w:val="28"/>
                <w:szCs w:val="28"/>
                <w:lang w:val="en-US" w:eastAsia="zh-CN"/>
              </w:rPr>
              <w:t>占地区生产总值比重</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val="0"/>
              <w:autoSpaceDN w:val="0"/>
              <w:bidi w:val="0"/>
              <w:adjustRightInd w:val="0"/>
              <w:snapToGrid/>
              <w:spacing w:line="480" w:lineRule="exact"/>
              <w:ind w:left="119"/>
              <w:jc w:val="center"/>
              <w:textAlignment w:val="auto"/>
              <w:outlineLvl w:val="9"/>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4"/>
                <w:szCs w:val="24"/>
                <w:lang w:val="en-US" w:eastAsia="zh-CN"/>
              </w:rPr>
              <w:t>达到全市平均水平</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每万人口发明专利拥有量（件）</w:t>
            </w: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13.8</w:t>
            </w:r>
          </w:p>
        </w:tc>
        <w:tc>
          <w:tcPr>
            <w:tcW w:w="1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20</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高新技术产业企业数（家）</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26</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30</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高新技术产业增加值增</w:t>
            </w:r>
            <w:r>
              <w:rPr>
                <w:rFonts w:hint="eastAsia" w:ascii="仿宋_GB2312" w:hAnsi="仿宋_GB2312" w:eastAsia="仿宋_GB2312" w:cs="仿宋_GB2312"/>
                <w:color w:val="auto"/>
                <w:sz w:val="28"/>
                <w:szCs w:val="28"/>
                <w:lang w:val="en-US" w:eastAsia="zh-CN"/>
              </w:rPr>
              <w:t>长</w:t>
            </w:r>
            <w:r>
              <w:rPr>
                <w:rFonts w:hint="eastAsia" w:ascii="仿宋_GB2312" w:hAnsi="仿宋_GB2312" w:eastAsia="仿宋_GB2312" w:cs="仿宋_GB2312"/>
                <w:color w:val="auto"/>
                <w:sz w:val="28"/>
                <w:szCs w:val="28"/>
              </w:rPr>
              <w:t>（%）</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以上</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857" w:type="dxa"/>
            <w:gridSpan w:val="5"/>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lef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三、民生福祉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城镇常住居民人均可支配收入（万元）</w:t>
            </w: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3.7</w:t>
            </w:r>
            <w:r>
              <w:rPr>
                <w:rFonts w:hint="eastAsia" w:ascii="仿宋_GB2312" w:hAnsi="仿宋_GB2312" w:eastAsia="仿宋_GB2312" w:cs="仿宋_GB2312"/>
                <w:color w:val="auto"/>
                <w:kern w:val="0"/>
                <w:sz w:val="28"/>
                <w:szCs w:val="28"/>
                <w:lang w:val="en-US" w:eastAsia="zh-CN"/>
              </w:rPr>
              <w:t>5</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高于经济增长</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农村常住居民人均可支配收入（万元）</w:t>
            </w: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1.55</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高于经济增长</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五年累计城镇新增就业人数（万人）</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城镇登记失业率（%）</w:t>
            </w: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3.2</w:t>
            </w:r>
          </w:p>
        </w:tc>
        <w:tc>
          <w:tcPr>
            <w:tcW w:w="1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3.9</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每千常住人口拥有3岁以下婴幼儿托位数（个）</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3.4</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4.6</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每千人口执业（助理）医师数（个）</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人均预期寿命（岁）</w:t>
            </w:r>
          </w:p>
        </w:tc>
        <w:tc>
          <w:tcPr>
            <w:tcW w:w="12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77．3</w:t>
            </w:r>
          </w:p>
        </w:tc>
        <w:tc>
          <w:tcPr>
            <w:tcW w:w="1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lang w:val="en-US" w:eastAsia="zh-CN"/>
              </w:rPr>
              <w:t>8.3</w:t>
            </w:r>
          </w:p>
        </w:tc>
        <w:tc>
          <w:tcPr>
            <w:tcW w:w="12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普惠性幼儿园覆盖率（%）</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98.03</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85以上</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劳动年龄人口平均受教育年限（年）</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4"/>
                <w:szCs w:val="24"/>
                <w:lang w:val="en-US" w:eastAsia="zh-CN"/>
              </w:rPr>
              <w:t>达到全市平均水平</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857" w:type="dxa"/>
            <w:gridSpan w:val="5"/>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lef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四、资源环境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单位GDP能源消耗降低（%）</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市下达</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市下达</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单位GDP二氧化碳排放降低（%）</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市下达</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市下达</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空气质量指数达到优良天数比率（%）</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市下达</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市下达</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地表水达到或优于III类水体比例（国控断面）（%）</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市下达</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市下达</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森林覆盖率（%）</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市下达</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市下达</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857" w:type="dxa"/>
            <w:gridSpan w:val="5"/>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left"/>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五、安全保障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粮食综合生产能力（万吨）</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both"/>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市下达</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both"/>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市下达</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jc w:val="center"/>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480" w:lineRule="exact"/>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能源综合生产能力（万吨标准煤）</w:t>
            </w:r>
          </w:p>
        </w:tc>
        <w:tc>
          <w:tcPr>
            <w:tcW w:w="125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sz w:val="28"/>
                <w:szCs w:val="28"/>
              </w:rPr>
              <w:t>市下达</w:t>
            </w:r>
          </w:p>
        </w:tc>
        <w:tc>
          <w:tcPr>
            <w:tcW w:w="131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sz w:val="28"/>
                <w:szCs w:val="28"/>
              </w:rPr>
              <w:t>市下达</w:t>
            </w:r>
          </w:p>
        </w:tc>
        <w:tc>
          <w:tcPr>
            <w:tcW w:w="126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sz w:val="28"/>
                <w:szCs w:val="28"/>
              </w:rPr>
              <w:t>——</w:t>
            </w:r>
          </w:p>
        </w:tc>
        <w:tc>
          <w:tcPr>
            <w:tcW w:w="1212"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bidi w:val="0"/>
              <w:snapToGrid/>
              <w:spacing w:line="480" w:lineRule="exact"/>
              <w:ind w:left="119" w:leftChars="0"/>
              <w:jc w:val="center"/>
              <w:textAlignment w:val="auto"/>
              <w:outlineLvl w:val="1"/>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sz w:val="28"/>
                <w:szCs w:val="28"/>
              </w:rPr>
              <w:t>约束性</w:t>
            </w:r>
          </w:p>
        </w:tc>
      </w:tr>
    </w:tbl>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194" w:name="_Toc20129"/>
      <w:bookmarkStart w:id="195" w:name="_Toc4635"/>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196" w:name="_Toc26097_WPSOffice_Level1"/>
      <w:r>
        <w:rPr>
          <w:rFonts w:hint="eastAsia" w:ascii="方正小标宋简体" w:hAnsi="方正小标宋简体" w:eastAsia="方正小标宋简体" w:cs="方正小标宋简体"/>
          <w:b w:val="0"/>
          <w:bCs w:val="0"/>
          <w:color w:val="auto"/>
          <w:sz w:val="36"/>
          <w:szCs w:val="36"/>
          <w:lang w:eastAsia="zh-CN"/>
        </w:rPr>
        <w:t>第二章</w:t>
      </w:r>
      <w:r>
        <w:rPr>
          <w:rFonts w:hint="eastAsia" w:ascii="方正小标宋简体" w:hAnsi="方正小标宋简体" w:eastAsia="方正小标宋简体" w:cs="方正小标宋简体"/>
          <w:b w:val="0"/>
          <w:bCs w:val="0"/>
          <w:color w:val="auto"/>
          <w:sz w:val="36"/>
          <w:szCs w:val="36"/>
          <w:lang w:val="en-US" w:eastAsia="zh-CN"/>
        </w:rPr>
        <w:t xml:space="preserve">  </w:t>
      </w:r>
      <w:r>
        <w:rPr>
          <w:rFonts w:hint="eastAsia" w:ascii="方正小标宋简体" w:hAnsi="方正小标宋简体" w:eastAsia="方正小标宋简体" w:cs="方正小标宋简体"/>
          <w:b w:val="0"/>
          <w:bCs w:val="0"/>
          <w:color w:val="auto"/>
          <w:sz w:val="36"/>
          <w:szCs w:val="36"/>
          <w:lang w:eastAsia="zh-CN"/>
        </w:rPr>
        <w:t>聚力发展实体经济 构建</w:t>
      </w:r>
      <w:bookmarkEnd w:id="194"/>
      <w:bookmarkEnd w:id="195"/>
      <w:bookmarkEnd w:id="196"/>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197" w:name="_Toc9719_WPSOffice_Level2"/>
      <w:bookmarkStart w:id="198" w:name="_Toc23569_WPSOffice_Level2"/>
      <w:bookmarkStart w:id="199" w:name="_Toc12511_WPSOffice_Level2"/>
      <w:bookmarkStart w:id="200" w:name="_Toc3381_WPSOffice_Level2"/>
      <w:bookmarkStart w:id="201" w:name="_Toc26455"/>
      <w:bookmarkStart w:id="202" w:name="_Toc3058_WPSOffice_Level2"/>
      <w:bookmarkStart w:id="203" w:name="_Toc7600_WPSOffice_Level2"/>
      <w:bookmarkStart w:id="204" w:name="_Toc12277_WPSOffice_Level2"/>
      <w:bookmarkStart w:id="205" w:name="_Toc16697_WPSOffice_Level2"/>
      <w:bookmarkStart w:id="206" w:name="_Toc4975"/>
      <w:bookmarkStart w:id="207" w:name="_Toc16699_WPSOffice_Level2"/>
      <w:r>
        <w:rPr>
          <w:rFonts w:hint="eastAsia" w:ascii="方正小标宋简体" w:hAnsi="方正小标宋简体" w:eastAsia="方正小标宋简体" w:cs="方正小标宋简体"/>
          <w:b w:val="0"/>
          <w:bCs w:val="0"/>
          <w:color w:val="auto"/>
          <w:sz w:val="36"/>
          <w:szCs w:val="36"/>
          <w:lang w:eastAsia="zh-CN"/>
        </w:rPr>
        <w:t>县域现代化产业体系</w:t>
      </w:r>
      <w:bookmarkEnd w:id="193"/>
      <w:bookmarkEnd w:id="197"/>
      <w:bookmarkEnd w:id="198"/>
      <w:bookmarkEnd w:id="199"/>
      <w:bookmarkEnd w:id="200"/>
      <w:bookmarkEnd w:id="201"/>
      <w:bookmarkEnd w:id="202"/>
      <w:bookmarkEnd w:id="203"/>
      <w:bookmarkEnd w:id="204"/>
      <w:bookmarkEnd w:id="205"/>
      <w:bookmarkEnd w:id="206"/>
      <w:bookmarkEnd w:id="207"/>
    </w:p>
    <w:p>
      <w:pPr>
        <w:spacing w:line="360" w:lineRule="auto"/>
        <w:outlineLvl w:val="1"/>
        <w:rPr>
          <w:rFonts w:ascii="Times New Roman" w:hAnsi="Times New Roman" w:eastAsia="仿宋_GB2312" w:cs="Times New Roman"/>
          <w:color w:val="auto"/>
          <w:kern w:val="0"/>
          <w:sz w:val="32"/>
          <w:szCs w:val="32"/>
        </w:rPr>
      </w:pPr>
    </w:p>
    <w:p>
      <w:pPr>
        <w:spacing w:line="580" w:lineRule="exact"/>
        <w:ind w:firstLine="632" w:firstLineChars="200"/>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坚持把发展经济着力点放在实体经济上，坚定不移推进工业强县，围绕产业链部署创新链、围绕创新链布局产业链，深入实施“双百工程”，加快培育战略性新兴产业集群，形成制造业与服务业互融互促的现代产业体系，提高全县经济质量效益和核心竞争力。</w:t>
      </w:r>
    </w:p>
    <w:p>
      <w:pPr>
        <w:keepNext w:val="0"/>
        <w:keepLines w:val="0"/>
        <w:pageBreakBefore w:val="0"/>
        <w:widowControl/>
        <w:kinsoku/>
        <w:wordWrap/>
        <w:overflowPunct/>
        <w:topLinePunct w:val="0"/>
        <w:autoSpaceDE/>
        <w:autoSpaceDN/>
        <w:bidi w:val="0"/>
        <w:adjustRightInd/>
        <w:snapToGrid/>
        <w:spacing w:line="400" w:lineRule="exact"/>
        <w:ind w:firstLine="640" w:firstLineChars="200"/>
        <w:jc w:val="left"/>
        <w:textAlignment w:val="auto"/>
        <w:outlineLvl w:val="1"/>
        <w:rPr>
          <w:rFonts w:ascii="Times New Roman" w:hAnsi="Times New Roman" w:eastAsia="仿宋_GB2312" w:cs="Times New Roman"/>
          <w:color w:val="auto"/>
          <w:kern w:val="0"/>
          <w:sz w:val="32"/>
          <w:szCs w:val="32"/>
        </w:rPr>
      </w:pPr>
    </w:p>
    <w:p>
      <w:pPr>
        <w:pStyle w:val="4"/>
        <w:spacing w:before="0" w:after="0" w:line="240" w:lineRule="auto"/>
        <w:jc w:val="center"/>
        <w:outlineLvl w:val="1"/>
        <w:rPr>
          <w:rFonts w:ascii="仿宋_GB2312" w:hAnsi="楷体" w:eastAsia="仿宋_GB2312"/>
          <w:color w:val="auto"/>
          <w:szCs w:val="30"/>
        </w:rPr>
      </w:pPr>
      <w:bookmarkStart w:id="208" w:name="_Toc48039851"/>
      <w:bookmarkStart w:id="209" w:name="_Toc10215"/>
      <w:bookmarkStart w:id="210" w:name="_Toc17879"/>
      <w:bookmarkStart w:id="211" w:name="_Toc19573_WPSOffice_Level2"/>
      <w:bookmarkStart w:id="212" w:name="_Toc20034"/>
      <w:r>
        <w:rPr>
          <w:rFonts w:hint="eastAsia" w:ascii="仿宋_GB2312" w:hAnsi="楷体" w:eastAsia="仿宋_GB2312"/>
          <w:color w:val="auto"/>
          <w:szCs w:val="30"/>
        </w:rPr>
        <w:t xml:space="preserve">第一节  </w:t>
      </w:r>
      <w:bookmarkEnd w:id="208"/>
      <w:r>
        <w:rPr>
          <w:rFonts w:hint="eastAsia" w:ascii="仿宋_GB2312" w:hAnsi="楷体" w:eastAsia="仿宋_GB2312"/>
          <w:color w:val="auto"/>
          <w:szCs w:val="30"/>
        </w:rPr>
        <w:t>提升产业链供应链稳定性和现代化水平</w:t>
      </w:r>
      <w:bookmarkEnd w:id="209"/>
      <w:bookmarkEnd w:id="210"/>
      <w:bookmarkEnd w:id="211"/>
      <w:bookmarkEnd w:id="212"/>
    </w:p>
    <w:p>
      <w:pPr>
        <w:widowControl/>
        <w:spacing w:line="240" w:lineRule="exact"/>
        <w:ind w:firstLine="640" w:firstLineChars="200"/>
        <w:jc w:val="left"/>
        <w:outlineLvl w:val="1"/>
        <w:rPr>
          <w:rFonts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巩固发展优势主导产业，主动融入杭州都市圈、合肥都市圈产业链供应链，实施产业链供应链补链强链扩链行动，通过扶持壮大现有产业龙头增强带动能力“强链”、围绕现有主导产业发展上下游配套企业“延链”、承接沪苏浙重点产业转移招引“群主”项目“引链”、梳理其他领域产能为主导产业培育配套服务企业“补链”，促进产业链向上下游和价值链高端延伸，提升区域产业链供应链稳定性和竞争力。推动个转企、小升规、规改股、股上市，加快培育规上工业企业和“四上”企业，力争规上工业企业和“四上”企业均达百户以上。坚持补短板与锻长板相结合，聚焦机械制造、健康食品医药、数字经济等主导产业以及文化旅游等优势产业，加快培育形成4个百亿级以上产业。</w:t>
      </w:r>
    </w:p>
    <w:p>
      <w:pPr>
        <w:pStyle w:val="4"/>
        <w:spacing w:before="0" w:after="0" w:line="240" w:lineRule="auto"/>
        <w:jc w:val="center"/>
        <w:outlineLvl w:val="1"/>
        <w:rPr>
          <w:rFonts w:ascii="仿宋_GB2312" w:hAnsi="楷体" w:eastAsia="仿宋_GB2312"/>
          <w:color w:val="auto"/>
          <w:szCs w:val="30"/>
        </w:rPr>
      </w:pPr>
      <w:bookmarkStart w:id="213" w:name="_Toc23063"/>
      <w:bookmarkStart w:id="214" w:name="_Toc20846"/>
      <w:bookmarkStart w:id="215" w:name="_Toc12317"/>
      <w:bookmarkStart w:id="216" w:name="_Toc8421_WPSOffice_Level2"/>
      <w:r>
        <w:rPr>
          <w:rFonts w:hint="eastAsia" w:ascii="仿宋_GB2312" w:hAnsi="楷体" w:eastAsia="仿宋_GB2312"/>
          <w:color w:val="auto"/>
          <w:szCs w:val="30"/>
        </w:rPr>
        <w:t>第二节  推动制造业向中高端迈进</w:t>
      </w:r>
      <w:bookmarkEnd w:id="213"/>
      <w:bookmarkEnd w:id="214"/>
      <w:bookmarkEnd w:id="215"/>
      <w:bookmarkEnd w:id="216"/>
    </w:p>
    <w:p>
      <w:pPr>
        <w:spacing w:line="240" w:lineRule="exact"/>
        <w:ind w:firstLine="800" w:firstLineChars="250"/>
        <w:jc w:val="center"/>
        <w:outlineLvl w:val="1"/>
        <w:rPr>
          <w:rFonts w:ascii="仿宋_GB2312" w:hAnsi="仿宋_GB2312" w:eastAsia="仿宋_GB2312" w:cs="仿宋_GB2312"/>
          <w:color w:val="auto"/>
          <w:sz w:val="32"/>
        </w:rPr>
      </w:pPr>
    </w:p>
    <w:p>
      <w:pPr>
        <w:keepNext w:val="0"/>
        <w:keepLines w:val="0"/>
        <w:pageBreakBefore w:val="0"/>
        <w:widowControl w:val="0"/>
        <w:kinsoku/>
        <w:wordWrap/>
        <w:overflowPunct/>
        <w:topLinePunct w:val="0"/>
        <w:bidi w:val="0"/>
        <w:snapToGrid/>
        <w:spacing w:line="560" w:lineRule="exact"/>
        <w:ind w:firstLine="632"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实施先进制造业集群培育工程，大力发展高端机械零部件特色产业集群</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积极创建</w:t>
      </w:r>
      <w:r>
        <w:rPr>
          <w:rFonts w:hint="eastAsia" w:ascii="仿宋_GB2312" w:hAnsi="仿宋_GB2312" w:eastAsia="仿宋_GB2312" w:cs="仿宋_GB2312"/>
          <w:color w:val="auto"/>
          <w:spacing w:val="-2"/>
          <w:sz w:val="32"/>
          <w:szCs w:val="32"/>
        </w:rPr>
        <w:t>绿色食品特色产业集群，建立“1+5”集群发展机制，形成链式整合、</w:t>
      </w:r>
      <w:r>
        <w:rPr>
          <w:rFonts w:hint="eastAsia" w:ascii="仿宋_GB2312" w:hAnsi="仿宋_GB2312" w:eastAsia="仿宋_GB2312" w:cs="仿宋_GB2312"/>
          <w:color w:val="auto"/>
          <w:spacing w:val="-2"/>
          <w:sz w:val="32"/>
          <w:szCs w:val="32"/>
          <w:lang w:val="en-US" w:eastAsia="zh-CN"/>
        </w:rPr>
        <w:t>经开</w:t>
      </w:r>
      <w:r>
        <w:rPr>
          <w:rFonts w:hint="eastAsia" w:ascii="仿宋_GB2312" w:hAnsi="仿宋_GB2312" w:eastAsia="仿宋_GB2312" w:cs="仿宋_GB2312"/>
          <w:color w:val="auto"/>
          <w:spacing w:val="-2"/>
          <w:sz w:val="32"/>
          <w:szCs w:val="32"/>
        </w:rPr>
        <w:t>区支撑、集群带动、协同发展新格局。推动高端机械零部件、汽车装备制造、食品医药、电工电气、现代物流、数字经济等领域融合发展，促进产业链、价值链和创新链整体攀升，打造长三角先进制造业和现代服务业深度融合发展的示范区。积极推动富凯特材、小小科技等优质企业挂牌上市。</w:t>
      </w:r>
    </w:p>
    <w:p>
      <w:pPr>
        <w:pStyle w:val="30"/>
        <w:keepNext w:val="0"/>
        <w:keepLines w:val="0"/>
        <w:pageBreakBefore w:val="0"/>
        <w:widowControl w:val="0"/>
        <w:kinsoku/>
        <w:wordWrap/>
        <w:overflowPunct/>
        <w:topLinePunct w:val="0"/>
        <w:bidi w:val="0"/>
        <w:snapToGrid/>
        <w:spacing w:line="560" w:lineRule="exact"/>
        <w:ind w:firstLine="635" w:firstLineChars="200"/>
        <w:jc w:val="both"/>
        <w:textAlignment w:val="auto"/>
        <w:outlineLvl w:val="1"/>
        <w:rPr>
          <w:rFonts w:ascii="仿宋_GB2312" w:hAnsi="仿宋_GB2312" w:eastAsia="仿宋_GB2312" w:cs="仿宋_GB2312"/>
          <w:color w:val="auto"/>
          <w:spacing w:val="-2"/>
          <w:kern w:val="2"/>
          <w:sz w:val="32"/>
          <w:szCs w:val="32"/>
        </w:rPr>
      </w:pPr>
      <w:r>
        <w:rPr>
          <w:rFonts w:hint="eastAsia" w:ascii="仿宋_GB2312" w:hAnsi="仿宋_GB2312" w:eastAsia="仿宋_GB2312" w:cs="仿宋_GB2312"/>
          <w:b/>
          <w:bCs/>
          <w:color w:val="auto"/>
          <w:spacing w:val="-2"/>
          <w:kern w:val="2"/>
          <w:sz w:val="32"/>
          <w:szCs w:val="32"/>
        </w:rPr>
        <w:t>机械制造。</w:t>
      </w:r>
      <w:r>
        <w:rPr>
          <w:rFonts w:hint="eastAsia" w:ascii="仿宋_GB2312" w:hAnsi="仿宋_GB2312" w:eastAsia="仿宋_GB2312" w:cs="仿宋_GB2312"/>
          <w:color w:val="auto"/>
          <w:spacing w:val="-2"/>
          <w:kern w:val="2"/>
          <w:sz w:val="32"/>
          <w:szCs w:val="32"/>
        </w:rPr>
        <w:t>依托黄山恒久链、徽山链、中友链条等企业，致力于研究链传动领域的应用发展，开发新产品，形成从材料改制、工模具及专用设备制造，到零部件生产、整机组装比较完整的产业链，做强中国异型链条研发生产基地。以小小科技、明雁齿轮等企业为龙头，通过技术改造提升汽车零部件企业智能化、自动化生产水平，努力打造汽车零部件生产基地。依托祥博传热、泰昂电力等企业，全力培养电工电气产业链、产品链，重点推进电力电子管理系统产品研发、制造、销售及技术服务。促进制造业智能化、技术融合化、产品高技术化和系统集成化发展，突破基础性技术和关键技术，采用先进适用技术改造与提升传统装备制造业。</w:t>
      </w:r>
    </w:p>
    <w:p>
      <w:pPr>
        <w:pStyle w:val="30"/>
        <w:keepNext w:val="0"/>
        <w:keepLines w:val="0"/>
        <w:pageBreakBefore w:val="0"/>
        <w:widowControl w:val="0"/>
        <w:kinsoku/>
        <w:wordWrap/>
        <w:overflowPunct/>
        <w:topLinePunct w:val="0"/>
        <w:autoSpaceDE w:val="0"/>
        <w:autoSpaceDN w:val="0"/>
        <w:bidi w:val="0"/>
        <w:adjustRightInd w:val="0"/>
        <w:snapToGrid/>
        <w:spacing w:line="580" w:lineRule="exact"/>
        <w:ind w:firstLine="635" w:firstLineChars="200"/>
        <w:jc w:val="both"/>
        <w:textAlignment w:val="auto"/>
        <w:outlineLvl w:val="1"/>
        <w:rPr>
          <w:rFonts w:ascii="仿宋_GB2312" w:hAnsi="仿宋_GB2312" w:eastAsia="仿宋_GB2312" w:cs="仿宋_GB2312"/>
          <w:color w:val="auto"/>
          <w:spacing w:val="-2"/>
          <w:kern w:val="2"/>
          <w:sz w:val="32"/>
          <w:szCs w:val="32"/>
        </w:rPr>
      </w:pPr>
      <w:r>
        <w:rPr>
          <w:rFonts w:hint="eastAsia" w:ascii="仿宋_GB2312" w:hAnsi="仿宋_GB2312" w:eastAsia="仿宋_GB2312" w:cs="仿宋_GB2312"/>
          <w:b/>
          <w:bCs/>
          <w:color w:val="auto"/>
          <w:spacing w:val="-2"/>
          <w:kern w:val="2"/>
          <w:sz w:val="32"/>
          <w:szCs w:val="32"/>
        </w:rPr>
        <w:t>健康食品医药。</w:t>
      </w:r>
      <w:r>
        <w:rPr>
          <w:rFonts w:hint="eastAsia" w:ascii="仿宋_GB2312" w:hAnsi="仿宋_GB2312" w:eastAsia="仿宋_GB2312" w:cs="仿宋_GB2312"/>
          <w:color w:val="auto"/>
          <w:spacing w:val="-2"/>
          <w:kern w:val="2"/>
          <w:sz w:val="32"/>
          <w:szCs w:val="32"/>
        </w:rPr>
        <w:t>立足绩溪特色农副产品资源，依托松鼠云、徽都徽菜、小来大食品等企业，大力发展</w:t>
      </w:r>
      <w:r>
        <w:rPr>
          <w:rFonts w:hint="eastAsia" w:ascii="仿宋_GB2312" w:hAnsi="仿宋_GB2312" w:eastAsia="仿宋_GB2312" w:cs="仿宋_GB2312"/>
          <w:color w:val="auto"/>
          <w:spacing w:val="-2"/>
          <w:kern w:val="2"/>
          <w:sz w:val="32"/>
          <w:szCs w:val="32"/>
          <w:lang w:val="en-US" w:eastAsia="zh-CN"/>
        </w:rPr>
        <w:t>徽菜山珍、</w:t>
      </w:r>
      <w:r>
        <w:rPr>
          <w:rFonts w:hint="eastAsia" w:ascii="仿宋_GB2312" w:hAnsi="仿宋_GB2312" w:eastAsia="仿宋_GB2312" w:cs="仿宋_GB2312"/>
          <w:color w:val="auto"/>
          <w:spacing w:val="-2"/>
          <w:kern w:val="2"/>
          <w:sz w:val="32"/>
          <w:szCs w:val="32"/>
        </w:rPr>
        <w:t>林茶果蔬、特色粮油、畜禽产品等深加工产业。开发航空、高铁</w:t>
      </w:r>
      <w:r>
        <w:rPr>
          <w:rFonts w:hint="eastAsia" w:ascii="仿宋_GB2312" w:hAnsi="仿宋_GB2312" w:eastAsia="仿宋_GB2312" w:cs="仿宋_GB2312"/>
          <w:color w:val="auto"/>
          <w:spacing w:val="-2"/>
          <w:kern w:val="2"/>
          <w:sz w:val="32"/>
          <w:szCs w:val="32"/>
          <w:lang w:val="en-US" w:eastAsia="zh-CN"/>
        </w:rPr>
        <w:t>等休闲旅游</w:t>
      </w:r>
      <w:r>
        <w:rPr>
          <w:rFonts w:hint="eastAsia" w:ascii="仿宋_GB2312" w:hAnsi="仿宋_GB2312" w:eastAsia="仿宋_GB2312" w:cs="仿宋_GB2312"/>
          <w:color w:val="auto"/>
          <w:spacing w:val="-2"/>
          <w:kern w:val="2"/>
          <w:sz w:val="32"/>
          <w:szCs w:val="32"/>
        </w:rPr>
        <w:t>食品。加快健康食品医药产业园建设，打造徽菜、山核桃、茶叶、竹笋、中药材5个产业集群，建设长三角绿色农产品加工</w:t>
      </w:r>
      <w:r>
        <w:rPr>
          <w:rFonts w:hint="eastAsia" w:ascii="仿宋_GB2312" w:hAnsi="仿宋_GB2312" w:eastAsia="仿宋_GB2312" w:cs="仿宋_GB2312"/>
          <w:color w:val="auto"/>
          <w:spacing w:val="-2"/>
          <w:kern w:val="2"/>
          <w:sz w:val="32"/>
          <w:szCs w:val="32"/>
          <w:lang w:val="en-US" w:eastAsia="zh-CN"/>
        </w:rPr>
        <w:t>供应</w:t>
      </w:r>
      <w:r>
        <w:rPr>
          <w:rFonts w:hint="eastAsia" w:ascii="仿宋_GB2312" w:hAnsi="仿宋_GB2312" w:eastAsia="仿宋_GB2312" w:cs="仿宋_GB2312"/>
          <w:color w:val="auto"/>
          <w:spacing w:val="-2"/>
          <w:kern w:val="2"/>
          <w:sz w:val="32"/>
          <w:szCs w:val="32"/>
        </w:rPr>
        <w:t>基地。依托高山药业、小山卫材、正兴生物、旭聪医疗</w:t>
      </w:r>
      <w:r>
        <w:rPr>
          <w:rFonts w:hint="eastAsia" w:ascii="仿宋_GB2312" w:hAnsi="仿宋_GB2312" w:eastAsia="仿宋_GB2312" w:cs="仿宋_GB2312"/>
          <w:color w:val="auto"/>
          <w:spacing w:val="-2"/>
          <w:kern w:val="2"/>
          <w:sz w:val="32"/>
          <w:szCs w:val="32"/>
          <w:lang w:eastAsia="zh-CN"/>
        </w:rPr>
        <w:t>、康昕医疗</w:t>
      </w:r>
      <w:r>
        <w:rPr>
          <w:rFonts w:hint="eastAsia" w:ascii="仿宋_GB2312" w:hAnsi="仿宋_GB2312" w:eastAsia="仿宋_GB2312" w:cs="仿宋_GB2312"/>
          <w:color w:val="auto"/>
          <w:spacing w:val="-2"/>
          <w:kern w:val="2"/>
          <w:sz w:val="32"/>
          <w:szCs w:val="32"/>
        </w:rPr>
        <w:t>等企业，新建医疗器械生产线，加快医药辅助材料生产，扩大医药医疗产业规模。</w:t>
      </w:r>
    </w:p>
    <w:p>
      <w:pPr>
        <w:pStyle w:val="30"/>
        <w:keepNext w:val="0"/>
        <w:keepLines w:val="0"/>
        <w:pageBreakBefore w:val="0"/>
        <w:widowControl w:val="0"/>
        <w:kinsoku/>
        <w:wordWrap/>
        <w:overflowPunct/>
        <w:topLinePunct w:val="0"/>
        <w:autoSpaceDE w:val="0"/>
        <w:autoSpaceDN w:val="0"/>
        <w:bidi w:val="0"/>
        <w:adjustRightInd w:val="0"/>
        <w:snapToGrid/>
        <w:spacing w:line="580" w:lineRule="exact"/>
        <w:ind w:firstLine="635" w:firstLineChars="200"/>
        <w:jc w:val="both"/>
        <w:textAlignment w:val="auto"/>
        <w:outlineLvl w:val="1"/>
        <w:rPr>
          <w:rFonts w:hint="eastAsia" w:ascii="仿宋_GB2312" w:hAnsi="仿宋_GB2312" w:eastAsia="仿宋_GB2312" w:cs="仿宋_GB2312"/>
          <w:color w:val="auto"/>
          <w:spacing w:val="-2"/>
          <w:kern w:val="2"/>
          <w:sz w:val="32"/>
          <w:szCs w:val="32"/>
          <w:lang w:val="en-US" w:eastAsia="zh-CN"/>
        </w:rPr>
      </w:pPr>
      <w:r>
        <w:rPr>
          <w:rFonts w:hint="eastAsia" w:ascii="仿宋_GB2312" w:hAnsi="仿宋_GB2312" w:eastAsia="仿宋_GB2312" w:cs="仿宋_GB2312"/>
          <w:b/>
          <w:bCs/>
          <w:color w:val="auto"/>
          <w:spacing w:val="-2"/>
          <w:kern w:val="2"/>
          <w:sz w:val="32"/>
          <w:szCs w:val="32"/>
          <w:lang w:val="en-US" w:eastAsia="zh-CN"/>
        </w:rPr>
        <w:t>富凯特材高端特种钢产业。</w:t>
      </w:r>
      <w:r>
        <w:rPr>
          <w:rFonts w:hint="eastAsia" w:ascii="仿宋_GB2312" w:hAnsi="仿宋_GB2312" w:eastAsia="仿宋_GB2312" w:cs="仿宋_GB2312"/>
          <w:color w:val="auto"/>
          <w:spacing w:val="-2"/>
          <w:kern w:val="2"/>
          <w:sz w:val="32"/>
          <w:szCs w:val="32"/>
          <w:lang w:val="en-US" w:eastAsia="zh-CN"/>
        </w:rPr>
        <w:t>加快推进曹渡桥片区开发建设，全力推动富凯特材合金材料和产</w:t>
      </w:r>
      <w:r>
        <w:rPr>
          <w:rFonts w:hint="eastAsia" w:ascii="仿宋_GB2312" w:hAnsi="仿宋_GB2312" w:eastAsia="仿宋_GB2312" w:cs="仿宋_GB2312"/>
          <w:b w:val="0"/>
          <w:bCs w:val="0"/>
          <w:color w:val="auto"/>
          <w:spacing w:val="-2"/>
          <w:kern w:val="2"/>
          <w:sz w:val="32"/>
          <w:szCs w:val="32"/>
          <w:lang w:val="en-US" w:eastAsia="zh-CN"/>
        </w:rPr>
        <w:t>品研发生产</w:t>
      </w:r>
      <w:r>
        <w:rPr>
          <w:rFonts w:hint="eastAsia" w:ascii="仿宋_GB2312" w:hAnsi="仿宋_GB2312" w:eastAsia="仿宋_GB2312" w:cs="仿宋_GB2312"/>
          <w:color w:val="auto"/>
          <w:spacing w:val="-2"/>
          <w:kern w:val="2"/>
          <w:sz w:val="32"/>
          <w:szCs w:val="32"/>
        </w:rPr>
        <w:t>产业园</w:t>
      </w:r>
      <w:r>
        <w:rPr>
          <w:rFonts w:hint="eastAsia" w:ascii="仿宋_GB2312" w:hAnsi="仿宋_GB2312" w:eastAsia="仿宋_GB2312" w:cs="仿宋_GB2312"/>
          <w:color w:val="auto"/>
          <w:spacing w:val="-2"/>
          <w:kern w:val="2"/>
          <w:sz w:val="32"/>
          <w:szCs w:val="32"/>
          <w:lang w:val="en-US" w:eastAsia="zh-CN"/>
        </w:rPr>
        <w:t>项目建设，实施富凯特材公司整体搬迁及产业链延伸工程，引进下游精深加工企业，形成完整的上下游合金钢研发生产和合金产品，实现高端轴承、军工和民用产品产业化</w:t>
      </w:r>
      <w:r>
        <w:rPr>
          <w:rFonts w:hint="eastAsia" w:ascii="仿宋_GB2312" w:hAnsi="仿宋_GB2312" w:eastAsia="仿宋_GB2312" w:cs="仿宋_GB2312"/>
          <w:color w:val="auto"/>
          <w:spacing w:val="-2"/>
          <w:kern w:val="2"/>
          <w:sz w:val="32"/>
          <w:szCs w:val="32"/>
          <w:lang w:eastAsia="zh-CN"/>
        </w:rPr>
        <w:t>，</w:t>
      </w:r>
      <w:r>
        <w:rPr>
          <w:rFonts w:hint="eastAsia" w:ascii="仿宋_GB2312" w:hAnsi="仿宋_GB2312" w:eastAsia="仿宋_GB2312" w:cs="仿宋_GB2312"/>
          <w:color w:val="auto"/>
          <w:spacing w:val="-2"/>
          <w:kern w:val="2"/>
          <w:sz w:val="32"/>
          <w:szCs w:val="32"/>
          <w:lang w:val="en-US" w:eastAsia="zh-CN"/>
        </w:rPr>
        <w:t>加快形成富凯特材高端特种钢产业集群，打造高端轴承钢制造百亿产业。</w:t>
      </w:r>
    </w:p>
    <w:p>
      <w:pPr>
        <w:pStyle w:val="30"/>
        <w:keepNext w:val="0"/>
        <w:keepLines w:val="0"/>
        <w:pageBreakBefore w:val="0"/>
        <w:widowControl w:val="0"/>
        <w:kinsoku/>
        <w:wordWrap/>
        <w:overflowPunct/>
        <w:topLinePunct w:val="0"/>
        <w:autoSpaceDE w:val="0"/>
        <w:autoSpaceDN w:val="0"/>
        <w:bidi w:val="0"/>
        <w:adjustRightInd w:val="0"/>
        <w:snapToGrid/>
        <w:spacing w:line="580" w:lineRule="exact"/>
        <w:ind w:firstLine="635" w:firstLineChars="200"/>
        <w:jc w:val="both"/>
        <w:textAlignment w:val="auto"/>
        <w:outlineLvl w:val="1"/>
        <w:rPr>
          <w:rFonts w:hint="default" w:ascii="仿宋_GB2312" w:hAnsi="仿宋_GB2312" w:eastAsia="仿宋_GB2312" w:cs="仿宋_GB2312"/>
          <w:color w:val="auto"/>
          <w:spacing w:val="-2"/>
          <w:kern w:val="2"/>
          <w:sz w:val="32"/>
          <w:szCs w:val="32"/>
          <w:lang w:val="en-US" w:eastAsia="zh-CN"/>
        </w:rPr>
      </w:pPr>
      <w:r>
        <w:rPr>
          <w:rFonts w:hint="eastAsia" w:ascii="仿宋_GB2312" w:hAnsi="仿宋_GB2312" w:eastAsia="仿宋_GB2312" w:cs="仿宋_GB2312"/>
          <w:b/>
          <w:bCs/>
          <w:color w:val="auto"/>
          <w:spacing w:val="-2"/>
          <w:kern w:val="2"/>
          <w:sz w:val="32"/>
          <w:szCs w:val="32"/>
        </w:rPr>
        <w:t>军民融合产业。</w:t>
      </w:r>
      <w:r>
        <w:rPr>
          <w:rFonts w:hint="eastAsia" w:ascii="仿宋_GB2312" w:hAnsi="仿宋_GB2312" w:eastAsia="仿宋_GB2312" w:cs="仿宋_GB2312"/>
          <w:color w:val="auto"/>
          <w:spacing w:val="-2"/>
          <w:kern w:val="2"/>
          <w:sz w:val="32"/>
          <w:szCs w:val="32"/>
        </w:rPr>
        <w:t>围绕我县优势明显的新材料、新能源汽车、高端装备制造、生物医药等生产领域，推动徽煌化工、黄山恒久链等企业走军民融合发展道路，培育一批军民融合典型主体。依托徽煌化工，谋划与相关军工企业合作实施液体燃料推进剂项目。</w:t>
      </w:r>
    </w:p>
    <w:p>
      <w:pPr>
        <w:pStyle w:val="30"/>
        <w:keepNext w:val="0"/>
        <w:keepLines w:val="0"/>
        <w:pageBreakBefore w:val="0"/>
        <w:widowControl w:val="0"/>
        <w:kinsoku/>
        <w:wordWrap/>
        <w:overflowPunct/>
        <w:topLinePunct w:val="0"/>
        <w:autoSpaceDE w:val="0"/>
        <w:autoSpaceDN w:val="0"/>
        <w:bidi w:val="0"/>
        <w:adjustRightInd w:val="0"/>
        <w:snapToGrid/>
        <w:spacing w:line="580" w:lineRule="exact"/>
        <w:ind w:firstLine="635" w:firstLineChars="200"/>
        <w:jc w:val="both"/>
        <w:textAlignment w:val="auto"/>
        <w:outlineLvl w:val="1"/>
        <w:rPr>
          <w:rFonts w:hint="eastAsia" w:ascii="仿宋_GB2312" w:hAnsi="仿宋_GB2312" w:eastAsia="仿宋_GB2312" w:cs="仿宋_GB2312"/>
          <w:color w:val="auto"/>
          <w:spacing w:val="-2"/>
          <w:kern w:val="2"/>
          <w:sz w:val="32"/>
          <w:szCs w:val="32"/>
        </w:rPr>
      </w:pPr>
      <w:r>
        <w:rPr>
          <w:rFonts w:hint="eastAsia" w:ascii="仿宋_GB2312" w:hAnsi="仿宋_GB2312" w:eastAsia="仿宋_GB2312" w:cs="仿宋_GB2312"/>
          <w:b/>
          <w:bCs/>
          <w:color w:val="auto"/>
          <w:spacing w:val="-2"/>
          <w:kern w:val="2"/>
          <w:sz w:val="32"/>
          <w:szCs w:val="32"/>
        </w:rPr>
        <w:t>其他产业。</w:t>
      </w:r>
      <w:r>
        <w:rPr>
          <w:rFonts w:hint="eastAsia" w:ascii="仿宋_GB2312" w:hAnsi="仿宋_GB2312" w:eastAsia="仿宋_GB2312" w:cs="仿宋_GB2312"/>
          <w:color w:val="auto"/>
          <w:spacing w:val="-2"/>
          <w:kern w:val="2"/>
          <w:sz w:val="32"/>
          <w:szCs w:val="32"/>
        </w:rPr>
        <w:t>依托捷云新材、华林环保等企业，发展高性能新兴材料，积极引导企业引进关键设备、技术和工艺，重点发展附加值高、延伸产业链、上下游配套产品。鼓励立兴化工、现代化工等化工企业通过技术改造和应用新技术、新工艺，提升产品档次和质量，确保药剂的正常生产、销售；逐步实现化学反应工序的转移，促进由原药中间体生产升级为复配、成品药的转型发展。</w:t>
      </w: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29"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ascii="宋体" w:hAnsi="Calibri" w:eastAsia="宋体" w:cs="宋体"/>
                <w:color w:val="auto"/>
                <w:kern w:val="0"/>
                <w:sz w:val="24"/>
                <w:lang w:val="zh-CN"/>
              </w:rPr>
            </w:pPr>
            <w:r>
              <w:rPr>
                <w:rFonts w:hint="eastAsia" w:ascii="仿宋_GB2312" w:hAnsi="仿宋_GB2312" w:eastAsia="仿宋_GB2312" w:cs="仿宋_GB2312"/>
                <w:b/>
                <w:color w:val="auto"/>
                <w:sz w:val="28"/>
                <w:szCs w:val="28"/>
              </w:rPr>
              <w:t>专栏6“双百工程”提升</w:t>
            </w:r>
            <w:r>
              <w:rPr>
                <w:rFonts w:hint="eastAsia" w:ascii="仿宋_GB2312" w:hAnsi="仿宋_GB2312" w:eastAsia="仿宋_GB2312" w:cs="仿宋_GB2312"/>
                <w:b/>
                <w:color w:val="auto"/>
                <w:sz w:val="28"/>
                <w:szCs w:val="28"/>
                <w:lang w:eastAsia="zh-CN"/>
              </w:rPr>
              <w:t>行动</w:t>
            </w:r>
          </w:p>
        </w:tc>
      </w:tr>
      <w:tr>
        <w:tblPrEx>
          <w:tblCellMar>
            <w:top w:w="0" w:type="dxa"/>
            <w:left w:w="108" w:type="dxa"/>
            <w:bottom w:w="0" w:type="dxa"/>
            <w:right w:w="108" w:type="dxa"/>
          </w:tblCellMar>
        </w:tblPrEx>
        <w:trPr>
          <w:trHeight w:val="1"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0" w:firstLineChars="200"/>
              <w:textAlignment w:val="auto"/>
              <w:outlineLvl w:val="1"/>
              <w:rPr>
                <w:rFonts w:ascii="仿宋" w:hAnsi="仿宋" w:eastAsia="仿宋" w:cs="Times New Roman"/>
                <w:color w:val="auto"/>
                <w:sz w:val="24"/>
                <w:szCs w:val="28"/>
              </w:rPr>
            </w:pPr>
            <w:r>
              <w:rPr>
                <w:rFonts w:hint="eastAsia" w:ascii="仿宋_GB2312" w:hAnsi="仿宋_GB2312" w:eastAsia="仿宋_GB2312" w:cs="仿宋_GB2312"/>
                <w:bCs/>
                <w:color w:val="auto"/>
                <w:sz w:val="28"/>
                <w:szCs w:val="28"/>
              </w:rPr>
              <w:t>“十四五”期间，持续发力，确保全县规上工业企业和“四上”企业（资质内建筑业企业、房地产开发经营企业、限上商贸企业、重点服务业企业）总数分别发展到</w:t>
            </w:r>
            <w:r>
              <w:rPr>
                <w:rFonts w:hint="eastAsia" w:ascii="仿宋_GB2312" w:hAnsi="仿宋_GB2312" w:eastAsia="仿宋_GB2312" w:cs="仿宋_GB2312"/>
                <w:bCs/>
                <w:color w:val="auto"/>
                <w:sz w:val="28"/>
                <w:szCs w:val="28"/>
                <w:lang w:val="en-US" w:eastAsia="zh-CN"/>
              </w:rPr>
              <w:t>100</w:t>
            </w:r>
            <w:r>
              <w:rPr>
                <w:rFonts w:hint="eastAsia" w:ascii="仿宋_GB2312" w:hAnsi="仿宋_GB2312" w:eastAsia="仿宋_GB2312" w:cs="仿宋_GB2312"/>
                <w:bCs/>
                <w:color w:val="auto"/>
                <w:sz w:val="28"/>
                <w:szCs w:val="28"/>
              </w:rPr>
              <w:t>户以上，文化旅游、机械制造、健康食品医药、数字经济四大主导产业年产值均达到</w:t>
            </w:r>
            <w:r>
              <w:rPr>
                <w:rFonts w:hint="eastAsia" w:ascii="仿宋_GB2312" w:hAnsi="仿宋_GB2312" w:eastAsia="仿宋_GB2312" w:cs="仿宋_GB2312"/>
                <w:bCs/>
                <w:color w:val="auto"/>
                <w:sz w:val="28"/>
                <w:szCs w:val="28"/>
                <w:lang w:val="en-US" w:eastAsia="zh-CN"/>
              </w:rPr>
              <w:t>100</w:t>
            </w:r>
            <w:r>
              <w:rPr>
                <w:rFonts w:hint="eastAsia" w:ascii="仿宋_GB2312" w:hAnsi="仿宋_GB2312" w:eastAsia="仿宋_GB2312" w:cs="仿宋_GB2312"/>
                <w:bCs/>
                <w:color w:val="auto"/>
                <w:sz w:val="28"/>
                <w:szCs w:val="28"/>
              </w:rPr>
              <w:t>亿元。</w:t>
            </w:r>
          </w:p>
        </w:tc>
      </w:tr>
    </w:tbl>
    <w:p>
      <w:pPr>
        <w:outlineLvl w:val="1"/>
        <w:rPr>
          <w:color w:val="auto"/>
        </w:rPr>
      </w:pPr>
    </w:p>
    <w:p>
      <w:pPr>
        <w:outlineLvl w:val="1"/>
        <w:rPr>
          <w:color w:val="auto"/>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1019"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ascii="宋体" w:hAnsi="Calibri" w:eastAsia="宋体" w:cs="宋体"/>
                <w:color w:val="auto"/>
                <w:kern w:val="0"/>
                <w:sz w:val="24"/>
                <w:lang w:val="zh-CN"/>
              </w:rPr>
            </w:pPr>
            <w:r>
              <w:rPr>
                <w:rFonts w:hint="eastAsia" w:ascii="仿宋_GB2312" w:hAnsi="仿宋_GB2312" w:eastAsia="仿宋_GB2312" w:cs="仿宋_GB2312"/>
                <w:b/>
                <w:color w:val="auto"/>
                <w:sz w:val="28"/>
                <w:szCs w:val="28"/>
              </w:rPr>
              <w:t>专栏</w:t>
            </w:r>
            <w:r>
              <w:rPr>
                <w:rFonts w:hint="eastAsia" w:ascii="仿宋_GB2312" w:hAnsi="仿宋_GB2312" w:eastAsia="仿宋_GB2312" w:cs="仿宋_GB2312"/>
                <w:b/>
                <w:color w:val="auto"/>
                <w:sz w:val="28"/>
                <w:szCs w:val="28"/>
                <w:lang w:val="en-US" w:eastAsia="zh-CN"/>
              </w:rPr>
              <w:t>7</w:t>
            </w:r>
            <w:r>
              <w:rPr>
                <w:rFonts w:hint="eastAsia" w:ascii="仿宋_GB2312" w:hAnsi="仿宋_GB2312" w:eastAsia="仿宋_GB2312" w:cs="仿宋_GB2312"/>
                <w:b/>
                <w:color w:val="auto"/>
                <w:sz w:val="28"/>
                <w:szCs w:val="28"/>
              </w:rPr>
              <w:t xml:space="preserve"> 重点产业链长制推进行动(试行)</w:t>
            </w:r>
          </w:p>
        </w:tc>
      </w:tr>
      <w:tr>
        <w:tblPrEx>
          <w:tblCellMar>
            <w:top w:w="0" w:type="dxa"/>
            <w:left w:w="108" w:type="dxa"/>
            <w:bottom w:w="0" w:type="dxa"/>
            <w:right w:w="108" w:type="dxa"/>
          </w:tblCellMar>
        </w:tblPrEx>
        <w:trPr>
          <w:trHeight w:val="8149"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val="0"/>
                <w:color w:val="auto"/>
                <w:sz w:val="28"/>
                <w:szCs w:val="28"/>
              </w:rPr>
              <w:t>建立产业推进体系。</w:t>
            </w:r>
            <w:r>
              <w:rPr>
                <w:rFonts w:hint="eastAsia" w:ascii="仿宋_GB2312" w:hAnsi="仿宋_GB2312" w:eastAsia="仿宋_GB2312" w:cs="仿宋_GB2312"/>
                <w:bCs/>
                <w:color w:val="auto"/>
                <w:sz w:val="28"/>
                <w:szCs w:val="28"/>
              </w:rPr>
              <w:t>针对我县主导产业、战新产业等,由县委、县政府负责同志担任产业链链长,按照“一位县领导、一个牵头部门、一位科级负责同志、一个工作方案、一套支持政策”工作模式,协力推进产业链发展。县直牵头部门负责产业链发展的组织协调工作。</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val="0"/>
                <w:color w:val="auto"/>
                <w:sz w:val="28"/>
                <w:szCs w:val="28"/>
              </w:rPr>
              <w:t>建立支撑服务体系。</w:t>
            </w:r>
            <w:r>
              <w:rPr>
                <w:rFonts w:hint="eastAsia" w:ascii="仿宋_GB2312" w:hAnsi="仿宋_GB2312" w:eastAsia="仿宋_GB2312" w:cs="仿宋_GB2312"/>
                <w:bCs/>
                <w:color w:val="auto"/>
                <w:sz w:val="28"/>
                <w:szCs w:val="28"/>
              </w:rPr>
              <w:t>业务支撑部门按照“一条产业链、一位科级负责同志、一位</w:t>
            </w:r>
            <w:r>
              <w:rPr>
                <w:rFonts w:hint="eastAsia" w:ascii="仿宋_GB2312" w:hAnsi="仿宋_GB2312" w:eastAsia="仿宋_GB2312" w:cs="仿宋_GB2312"/>
                <w:bCs/>
                <w:color w:val="auto"/>
                <w:sz w:val="28"/>
                <w:szCs w:val="28"/>
                <w:lang w:eastAsia="zh-CN"/>
              </w:rPr>
              <w:t>股</w:t>
            </w:r>
            <w:r>
              <w:rPr>
                <w:rFonts w:hint="eastAsia" w:ascii="仿宋_GB2312" w:hAnsi="仿宋_GB2312" w:eastAsia="仿宋_GB2312" w:cs="仿宋_GB2312"/>
                <w:bCs/>
                <w:color w:val="auto"/>
                <w:sz w:val="28"/>
                <w:szCs w:val="28"/>
              </w:rPr>
              <w:t>室负责同志、一个工作方案”模式,建立日常支撑服务机制,协助产业链链长和牵头部门推进相关工作。</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val="0"/>
                <w:color w:val="auto"/>
                <w:sz w:val="28"/>
                <w:szCs w:val="28"/>
              </w:rPr>
              <w:t>建立决策咨询体系。</w:t>
            </w:r>
            <w:r>
              <w:rPr>
                <w:rFonts w:hint="eastAsia" w:ascii="仿宋_GB2312" w:hAnsi="仿宋_GB2312" w:eastAsia="仿宋_GB2312" w:cs="仿宋_GB2312"/>
                <w:bCs/>
                <w:color w:val="auto"/>
                <w:sz w:val="28"/>
                <w:szCs w:val="28"/>
              </w:rPr>
              <w:t>依托省内外研究机构</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相关院校</w:t>
            </w:r>
            <w:r>
              <w:rPr>
                <w:rFonts w:hint="eastAsia" w:ascii="仿宋_GB2312" w:hAnsi="仿宋_GB2312" w:eastAsia="仿宋_GB2312" w:cs="仿宋_GB2312"/>
                <w:bCs/>
                <w:color w:val="auto"/>
                <w:sz w:val="28"/>
                <w:szCs w:val="28"/>
              </w:rPr>
              <w:t>和智库力量,分产业链组建专家顾问团。负责跟踪分析国内外经济与产业发展动态趋势,研究有关产业发展的前瞻性、战略性、全局性问题,为产业经济、技术发展提供决策咨询。</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ascii="华文楷体" w:hAnsi="华文楷体" w:eastAsia="华文楷体" w:cs="Times New Roman"/>
                <w:b/>
                <w:color w:val="auto"/>
                <w:sz w:val="24"/>
                <w:szCs w:val="28"/>
              </w:rPr>
            </w:pPr>
            <w:r>
              <w:rPr>
                <w:rFonts w:hint="eastAsia" w:ascii="仿宋_GB2312" w:hAnsi="仿宋_GB2312" w:eastAsia="仿宋_GB2312" w:cs="仿宋_GB2312"/>
                <w:b/>
                <w:bCs w:val="0"/>
                <w:color w:val="auto"/>
                <w:sz w:val="28"/>
                <w:szCs w:val="28"/>
              </w:rPr>
              <w:t>建立议事协调体系。</w:t>
            </w:r>
            <w:r>
              <w:rPr>
                <w:rFonts w:hint="eastAsia" w:ascii="仿宋_GB2312" w:hAnsi="仿宋_GB2312" w:eastAsia="仿宋_GB2312" w:cs="仿宋_GB2312"/>
                <w:bCs/>
                <w:color w:val="auto"/>
                <w:sz w:val="28"/>
                <w:szCs w:val="28"/>
              </w:rPr>
              <w:t>实行产业链链长负责制,由链长牵头研究推动产业链发展各项工作，各产业链发展中遇到的共性问题、关键性难题,提交县委县政府协调解决。</w:t>
            </w:r>
          </w:p>
        </w:tc>
      </w:tr>
    </w:tbl>
    <w:p>
      <w:pPr>
        <w:outlineLvl w:val="1"/>
        <w:rPr>
          <w:color w:val="auto"/>
        </w:rPr>
      </w:pPr>
    </w:p>
    <w:p>
      <w:pPr>
        <w:pStyle w:val="2"/>
        <w:keepNext w:val="0"/>
        <w:keepLines w:val="0"/>
        <w:pageBreakBefore w:val="0"/>
        <w:widowControl w:val="0"/>
        <w:kinsoku/>
        <w:wordWrap/>
        <w:overflowPunct/>
        <w:topLinePunct w:val="0"/>
        <w:autoSpaceDE w:val="0"/>
        <w:autoSpaceDN w:val="0"/>
        <w:bidi w:val="0"/>
        <w:adjustRightInd w:val="0"/>
        <w:snapToGrid/>
        <w:spacing w:line="240" w:lineRule="exact"/>
        <w:ind w:left="119"/>
        <w:textAlignment w:val="auto"/>
        <w:outlineLvl w:val="1"/>
        <w:rPr>
          <w:color w:val="auto"/>
        </w:rPr>
      </w:pPr>
    </w:p>
    <w:p>
      <w:pPr>
        <w:pStyle w:val="2"/>
        <w:keepNext w:val="0"/>
        <w:keepLines w:val="0"/>
        <w:pageBreakBefore w:val="0"/>
        <w:widowControl w:val="0"/>
        <w:kinsoku/>
        <w:wordWrap/>
        <w:overflowPunct/>
        <w:topLinePunct w:val="0"/>
        <w:autoSpaceDE w:val="0"/>
        <w:autoSpaceDN w:val="0"/>
        <w:bidi w:val="0"/>
        <w:adjustRightInd w:val="0"/>
        <w:snapToGrid/>
        <w:spacing w:line="240" w:lineRule="exact"/>
        <w:ind w:left="119"/>
        <w:textAlignment w:val="auto"/>
        <w:outlineLvl w:val="1"/>
        <w:rPr>
          <w:color w:val="auto"/>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29"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hint="eastAsia" w:ascii="宋体" w:hAnsi="Calibri" w:eastAsia="宋体" w:cs="宋体"/>
                <w:color w:val="auto"/>
                <w:kern w:val="0"/>
                <w:sz w:val="22"/>
                <w:lang w:val="en-US" w:eastAsia="zh-CN"/>
              </w:rPr>
            </w:pPr>
            <w:r>
              <w:rPr>
                <w:rFonts w:hint="eastAsia" w:ascii="仿宋" w:hAnsi="仿宋" w:eastAsia="仿宋"/>
                <w:b/>
                <w:color w:val="auto"/>
                <w:sz w:val="28"/>
                <w:szCs w:val="28"/>
              </w:rPr>
              <w:t>专栏</w:t>
            </w:r>
            <w:r>
              <w:rPr>
                <w:rFonts w:hint="eastAsia" w:ascii="仿宋" w:hAnsi="仿宋" w:eastAsia="仿宋"/>
                <w:b/>
                <w:color w:val="auto"/>
                <w:sz w:val="28"/>
                <w:szCs w:val="28"/>
                <w:lang w:val="en-US" w:eastAsia="zh-CN"/>
              </w:rPr>
              <w:t>8</w:t>
            </w:r>
            <w:r>
              <w:rPr>
                <w:rFonts w:ascii="仿宋" w:hAnsi="仿宋" w:eastAsia="仿宋"/>
                <w:b/>
                <w:color w:val="auto"/>
                <w:sz w:val="28"/>
                <w:szCs w:val="28"/>
              </w:rPr>
              <w:t xml:space="preserve"> </w:t>
            </w:r>
            <w:r>
              <w:rPr>
                <w:rFonts w:hint="eastAsia" w:ascii="仿宋" w:hAnsi="仿宋" w:eastAsia="仿宋"/>
                <w:b/>
                <w:color w:val="auto"/>
                <w:sz w:val="28"/>
                <w:szCs w:val="28"/>
              </w:rPr>
              <w:t>制造业重点项目</w:t>
            </w:r>
          </w:p>
        </w:tc>
      </w:tr>
      <w:tr>
        <w:tblPrEx>
          <w:tblCellMar>
            <w:top w:w="0" w:type="dxa"/>
            <w:left w:w="108" w:type="dxa"/>
            <w:bottom w:w="0" w:type="dxa"/>
            <w:right w:w="108" w:type="dxa"/>
          </w:tblCellMar>
        </w:tblPrEx>
        <w:trPr>
          <w:trHeight w:val="6358"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val="0"/>
                <w:color w:val="auto"/>
                <w:sz w:val="28"/>
                <w:szCs w:val="28"/>
              </w:rPr>
              <w:t>机械制造：</w:t>
            </w:r>
            <w:r>
              <w:rPr>
                <w:rFonts w:hint="eastAsia" w:ascii="仿宋_GB2312" w:hAnsi="仿宋_GB2312" w:eastAsia="仿宋_GB2312" w:cs="仿宋_GB2312"/>
                <w:bCs/>
                <w:color w:val="auto"/>
                <w:sz w:val="28"/>
                <w:szCs w:val="28"/>
                <w:lang w:val="en-US" w:eastAsia="zh-CN"/>
              </w:rPr>
              <w:t>小小科技</w:t>
            </w:r>
            <w:r>
              <w:rPr>
                <w:rFonts w:hint="eastAsia" w:ascii="仿宋_GB2312" w:hAnsi="仿宋_GB2312" w:eastAsia="仿宋_GB2312" w:cs="仿宋_GB2312"/>
                <w:bCs/>
                <w:color w:val="auto"/>
                <w:sz w:val="28"/>
                <w:szCs w:val="28"/>
              </w:rPr>
              <w:t>智能制造汽车高端零部件生产基地项目、绩溪萧山精密制造产业园项目、绩溪县智能搅拌设备项目、威世顿年产5000吨链传动产品及60万套胀套、锥套、毂等链传动配套产品项目、世纪云母年产800吨云母带和200吨风电定子线圈项目、年产10万只新能源汽车传动轴项目、山合机械非标异型链生产基地、年产1万吨异型链条项目、年产1.5万套高精度齿轮项目、高可靠性链式智能输送系统的研制开发及产业化生产项目、工业自动化装备研发生产项目等。</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val="0"/>
                <w:color w:val="auto"/>
                <w:sz w:val="28"/>
                <w:szCs w:val="28"/>
              </w:rPr>
              <w:t>健康食品医药：</w:t>
            </w:r>
            <w:r>
              <w:rPr>
                <w:rFonts w:hint="eastAsia" w:ascii="仿宋_GB2312" w:hAnsi="仿宋_GB2312" w:eastAsia="仿宋_GB2312" w:cs="仿宋_GB2312"/>
                <w:bCs/>
                <w:color w:val="auto"/>
                <w:sz w:val="28"/>
                <w:szCs w:val="28"/>
              </w:rPr>
              <w:t>华统生猪全产业链一体化项目、</w:t>
            </w:r>
            <w:r>
              <w:rPr>
                <w:rFonts w:hint="eastAsia" w:ascii="仿宋_GB2312" w:hAnsi="仿宋_GB2312" w:eastAsia="仿宋_GB2312" w:cs="仿宋_GB2312"/>
                <w:bCs/>
                <w:color w:val="auto"/>
                <w:sz w:val="28"/>
                <w:szCs w:val="28"/>
                <w:lang w:eastAsia="zh-CN"/>
              </w:rPr>
              <w:t>松鼠云</w:t>
            </w:r>
            <w:r>
              <w:rPr>
                <w:rFonts w:hint="eastAsia" w:ascii="仿宋_GB2312" w:hAnsi="仿宋_GB2312" w:eastAsia="仿宋_GB2312" w:cs="仿宋_GB2312"/>
                <w:bCs/>
                <w:color w:val="auto"/>
                <w:sz w:val="28"/>
                <w:szCs w:val="28"/>
              </w:rPr>
              <w:t>山核桃等坚果包装生产线项目、小来大年产5000吨肉制品项目、</w:t>
            </w:r>
            <w:r>
              <w:rPr>
                <w:rFonts w:hint="eastAsia" w:ascii="仿宋_GB2312" w:hAnsi="仿宋_GB2312" w:eastAsia="仿宋_GB2312" w:cs="仿宋_GB2312"/>
                <w:bCs/>
                <w:color w:val="auto"/>
                <w:sz w:val="28"/>
                <w:szCs w:val="28"/>
                <w:lang w:eastAsia="zh-CN"/>
              </w:rPr>
              <w:t>果佳蓓</w:t>
            </w:r>
            <w:r>
              <w:rPr>
                <w:rFonts w:hint="eastAsia" w:ascii="仿宋_GB2312" w:hAnsi="仿宋_GB2312" w:eastAsia="仿宋_GB2312" w:cs="仿宋_GB2312"/>
                <w:bCs/>
                <w:color w:val="auto"/>
                <w:sz w:val="28"/>
                <w:szCs w:val="28"/>
              </w:rPr>
              <w:t>年产5000吨脱衣核桃仁项目、春赋食品笋制品加工项目、</w:t>
            </w:r>
            <w:r>
              <w:rPr>
                <w:rFonts w:hint="eastAsia" w:ascii="仿宋_GB2312" w:hAnsi="仿宋_GB2312" w:eastAsia="仿宋_GB2312" w:cs="仿宋_GB2312"/>
                <w:bCs/>
                <w:color w:val="auto"/>
                <w:sz w:val="28"/>
                <w:szCs w:val="28"/>
                <w:lang w:eastAsia="zh-CN"/>
              </w:rPr>
              <w:t>浙梅食品</w:t>
            </w:r>
            <w:r>
              <w:rPr>
                <w:rFonts w:hint="eastAsia" w:ascii="仿宋_GB2312" w:hAnsi="仿宋_GB2312" w:eastAsia="仿宋_GB2312" w:cs="仿宋_GB2312"/>
                <w:bCs/>
                <w:color w:val="auto"/>
                <w:sz w:val="28"/>
                <w:szCs w:val="28"/>
              </w:rPr>
              <w:t>年产5000吨蜜饯食品项目、薯类制品加工项目、医疗器械产业园、油茶籽综合加工项目、绩溪山核桃产业园、绩溪小黄牛产业化开发利用、健康食品产业园、农特产品冷链仓储加工项目等。</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val="0"/>
                <w:color w:val="auto"/>
                <w:sz w:val="28"/>
                <w:szCs w:val="28"/>
                <w:lang w:val="en-US" w:eastAsia="zh-CN"/>
              </w:rPr>
              <w:t>富凯特材产业项目：</w:t>
            </w:r>
            <w:r>
              <w:rPr>
                <w:rFonts w:hint="eastAsia" w:ascii="仿宋_GB2312" w:hAnsi="仿宋_GB2312" w:eastAsia="仿宋_GB2312" w:cs="仿宋_GB2312"/>
                <w:bCs/>
                <w:color w:val="auto"/>
                <w:sz w:val="28"/>
                <w:szCs w:val="28"/>
                <w:lang w:val="en-US" w:eastAsia="zh-CN"/>
              </w:rPr>
              <w:t>富凯特材</w:t>
            </w:r>
            <w:r>
              <w:rPr>
                <w:rFonts w:hint="eastAsia" w:ascii="仿宋_GB2312" w:hAnsi="仿宋_GB2312" w:eastAsia="仿宋_GB2312" w:cs="仿宋_GB2312"/>
                <w:bCs/>
                <w:color w:val="auto"/>
                <w:sz w:val="28"/>
                <w:szCs w:val="28"/>
              </w:rPr>
              <w:t>合金材料和产品研发生产产业园项目、年产2000吨高端轴承钢技术改造项目、年产5万吨合金钢技术改造项目</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val="0"/>
                <w:color w:val="auto"/>
                <w:sz w:val="28"/>
                <w:szCs w:val="28"/>
              </w:rPr>
              <w:t>军民融合：</w:t>
            </w:r>
            <w:r>
              <w:rPr>
                <w:rFonts w:hint="eastAsia" w:ascii="仿宋_GB2312" w:hAnsi="仿宋_GB2312" w:eastAsia="仿宋_GB2312" w:cs="仿宋_GB2312"/>
                <w:bCs/>
                <w:color w:val="auto"/>
                <w:sz w:val="28"/>
                <w:szCs w:val="28"/>
              </w:rPr>
              <w:t>高能航空燃料推进剂</w:t>
            </w:r>
            <w:r>
              <w:rPr>
                <w:rFonts w:hint="eastAsia" w:ascii="仿宋_GB2312" w:hAnsi="仿宋_GB2312" w:eastAsia="仿宋_GB2312" w:cs="仿宋_GB2312"/>
                <w:bCs/>
                <w:color w:val="auto"/>
                <w:sz w:val="28"/>
                <w:szCs w:val="28"/>
                <w:lang w:val="en-US" w:eastAsia="zh-CN"/>
              </w:rPr>
              <w:t>等新材料、新产品、新产业</w:t>
            </w:r>
            <w:r>
              <w:rPr>
                <w:rFonts w:hint="eastAsia" w:ascii="仿宋_GB2312" w:hAnsi="仿宋_GB2312" w:eastAsia="仿宋_GB2312" w:cs="仿宋_GB2312"/>
                <w:bCs/>
                <w:color w:val="auto"/>
                <w:sz w:val="28"/>
                <w:szCs w:val="28"/>
              </w:rPr>
              <w:t>项目</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420" w:firstLineChars="200"/>
              <w:textAlignment w:val="auto"/>
              <w:outlineLvl w:val="1"/>
              <w:rPr>
                <w:rFonts w:hint="default" w:eastAsia="宋体"/>
                <w:lang w:val="en-US" w:eastAsia="zh-CN"/>
              </w:rPr>
            </w:pPr>
          </w:p>
        </w:tc>
      </w:tr>
    </w:tbl>
    <w:p>
      <w:pPr>
        <w:pStyle w:val="30"/>
        <w:spacing w:line="360" w:lineRule="auto"/>
        <w:ind w:firstLine="640" w:firstLineChars="200"/>
        <w:jc w:val="both"/>
        <w:outlineLvl w:val="1"/>
        <w:rPr>
          <w:rFonts w:ascii="仿宋_GB2312" w:hAnsi="仿宋" w:eastAsia="仿宋_GB2312" w:cs="仿宋"/>
          <w:color w:val="auto"/>
          <w:sz w:val="32"/>
          <w:szCs w:val="32"/>
        </w:rPr>
      </w:pPr>
    </w:p>
    <w:p>
      <w:pPr>
        <w:pStyle w:val="4"/>
        <w:spacing w:before="0" w:after="0" w:line="240" w:lineRule="auto"/>
        <w:jc w:val="center"/>
        <w:outlineLvl w:val="1"/>
        <w:rPr>
          <w:rFonts w:ascii="仿宋_GB2312" w:hAnsi="楷体" w:eastAsia="仿宋_GB2312"/>
          <w:color w:val="auto"/>
          <w:szCs w:val="30"/>
        </w:rPr>
      </w:pPr>
      <w:bookmarkStart w:id="217" w:name="_Toc22966"/>
      <w:bookmarkStart w:id="218" w:name="_Toc15882"/>
      <w:bookmarkStart w:id="219" w:name="_Toc59725709"/>
      <w:bookmarkStart w:id="220" w:name="_Toc20768"/>
      <w:bookmarkStart w:id="221" w:name="_Toc3248_WPSOffice_Level2"/>
      <w:r>
        <w:rPr>
          <w:rFonts w:hint="eastAsia" w:ascii="仿宋_GB2312" w:hAnsi="楷体" w:eastAsia="仿宋_GB2312"/>
          <w:color w:val="auto"/>
          <w:szCs w:val="30"/>
        </w:rPr>
        <w:t>第三节  高质量发展文化旅游业</w:t>
      </w:r>
      <w:bookmarkEnd w:id="217"/>
      <w:bookmarkEnd w:id="218"/>
      <w:bookmarkEnd w:id="219"/>
      <w:bookmarkEnd w:id="220"/>
      <w:bookmarkEnd w:id="221"/>
    </w:p>
    <w:p>
      <w:pPr>
        <w:spacing w:line="240" w:lineRule="exact"/>
        <w:ind w:firstLine="803" w:firstLineChars="250"/>
        <w:jc w:val="center"/>
        <w:outlineLvl w:val="1"/>
        <w:rPr>
          <w:rFonts w:eastAsia="仿宋_GB2312"/>
          <w:b/>
          <w:bCs/>
          <w:color w:val="auto"/>
          <w:kern w:val="0"/>
          <w:sz w:val="32"/>
          <w:szCs w:val="32"/>
        </w:rPr>
      </w:pPr>
    </w:p>
    <w:p>
      <w:pPr>
        <w:pStyle w:val="30"/>
        <w:spacing w:line="560" w:lineRule="exact"/>
        <w:ind w:firstLine="635" w:firstLineChars="200"/>
        <w:jc w:val="both"/>
        <w:outlineLvl w:val="1"/>
        <w:rPr>
          <w:rFonts w:hint="eastAsia" w:ascii="仿宋_GB2312" w:hAnsi="仿宋_GB2312" w:eastAsia="仿宋_GB2312" w:cs="仿宋_GB2312"/>
          <w:color w:val="auto"/>
          <w:spacing w:val="-2"/>
          <w:kern w:val="2"/>
          <w:sz w:val="32"/>
          <w:szCs w:val="32"/>
        </w:rPr>
      </w:pPr>
      <w:r>
        <w:rPr>
          <w:rFonts w:hint="eastAsia" w:ascii="仿宋_GB2312" w:hAnsi="仿宋_GB2312" w:eastAsia="仿宋_GB2312" w:cs="仿宋_GB2312"/>
          <w:b/>
          <w:bCs/>
          <w:color w:val="auto"/>
          <w:spacing w:val="-2"/>
          <w:kern w:val="2"/>
          <w:sz w:val="32"/>
          <w:szCs w:val="32"/>
        </w:rPr>
        <w:t>推进全域旅游创建。</w:t>
      </w:r>
      <w:r>
        <w:rPr>
          <w:rFonts w:hint="eastAsia" w:ascii="仿宋_GB2312" w:hAnsi="仿宋_GB2312" w:eastAsia="仿宋_GB2312" w:cs="仿宋_GB2312"/>
          <w:color w:val="auto"/>
          <w:spacing w:val="-2"/>
          <w:kern w:val="2"/>
          <w:sz w:val="32"/>
          <w:szCs w:val="32"/>
        </w:rPr>
        <w:t>持续深入开展全国全域旅游示范区创建，把县域全境作为大景区来谋划布局，以旅游的理念总体设计，实施“旅游+”“+旅游”行动，加快打造“文旅康养目的地”。围绕百亿文化旅游产业培育目标，大力发展以康养、体验、研学、</w:t>
      </w:r>
      <w:r>
        <w:rPr>
          <w:rFonts w:hint="eastAsia" w:ascii="仿宋_GB2312" w:hAnsi="仿宋_GB2312" w:eastAsia="仿宋_GB2312" w:cs="仿宋_GB2312"/>
          <w:color w:val="auto"/>
          <w:spacing w:val="-2"/>
          <w:kern w:val="2"/>
          <w:sz w:val="32"/>
          <w:szCs w:val="32"/>
          <w:lang w:val="en-US" w:eastAsia="zh-CN"/>
        </w:rPr>
        <w:t>户外运动、</w:t>
      </w:r>
      <w:r>
        <w:rPr>
          <w:rFonts w:hint="eastAsia" w:ascii="仿宋_GB2312" w:hAnsi="仿宋_GB2312" w:eastAsia="仿宋_GB2312" w:cs="仿宋_GB2312"/>
          <w:color w:val="auto"/>
          <w:spacing w:val="-2"/>
          <w:kern w:val="2"/>
          <w:sz w:val="32"/>
          <w:szCs w:val="32"/>
        </w:rPr>
        <w:t>会务经济等为重点的旅游新业态，大力发展体育产业、生态旅游、工业旅游和乡村旅游。</w:t>
      </w:r>
    </w:p>
    <w:p>
      <w:pPr>
        <w:pStyle w:val="30"/>
        <w:spacing w:line="560" w:lineRule="exact"/>
        <w:ind w:firstLine="635" w:firstLineChars="200"/>
        <w:jc w:val="both"/>
        <w:outlineLvl w:val="1"/>
        <w:rPr>
          <w:rFonts w:ascii="仿宋_GB2312" w:hAnsi="仿宋_GB2312" w:eastAsia="仿宋_GB2312" w:cs="仿宋_GB2312"/>
          <w:color w:val="auto"/>
          <w:spacing w:val="-2"/>
          <w:kern w:val="2"/>
          <w:sz w:val="32"/>
          <w:szCs w:val="32"/>
        </w:rPr>
      </w:pPr>
      <w:r>
        <w:rPr>
          <w:rFonts w:hint="eastAsia" w:ascii="仿宋_GB2312" w:hAnsi="仿宋_GB2312" w:eastAsia="仿宋_GB2312" w:cs="仿宋_GB2312"/>
          <w:b/>
          <w:bCs/>
          <w:color w:val="auto"/>
          <w:spacing w:val="-2"/>
          <w:kern w:val="2"/>
          <w:sz w:val="32"/>
          <w:szCs w:val="32"/>
        </w:rPr>
        <w:t>提升现有景区景点品质。</w:t>
      </w:r>
      <w:r>
        <w:rPr>
          <w:rFonts w:hint="eastAsia" w:ascii="仿宋_GB2312" w:hAnsi="仿宋_GB2312" w:eastAsia="仿宋_GB2312" w:cs="仿宋_GB2312"/>
          <w:color w:val="auto"/>
          <w:spacing w:val="-2"/>
          <w:kern w:val="2"/>
          <w:sz w:val="32"/>
          <w:szCs w:val="32"/>
        </w:rPr>
        <w:t>围绕皖浙天路和百里历史文化生态走廊，积极推进绩溪徽之源文化产业集聚区建设，着力提升现有景区景点的建设管理水平。推动上海均和集团电子竞技产业园、虎山头</w:t>
      </w:r>
      <w:r>
        <w:rPr>
          <w:rFonts w:hint="eastAsia" w:ascii="仿宋_GB2312" w:hAnsi="仿宋_GB2312" w:eastAsia="仿宋_GB2312" w:cs="仿宋_GB2312"/>
          <w:color w:val="auto"/>
          <w:spacing w:val="-2"/>
          <w:kern w:val="2"/>
          <w:sz w:val="32"/>
          <w:szCs w:val="32"/>
          <w:lang w:val="en-US" w:eastAsia="zh-CN"/>
        </w:rPr>
        <w:t>徽岭旅游度假区</w:t>
      </w:r>
      <w:r>
        <w:rPr>
          <w:rFonts w:hint="eastAsia" w:ascii="仿宋_GB2312" w:hAnsi="仿宋_GB2312" w:eastAsia="仿宋_GB2312" w:cs="仿宋_GB2312"/>
          <w:color w:val="auto"/>
          <w:spacing w:val="-2"/>
          <w:kern w:val="2"/>
          <w:sz w:val="32"/>
          <w:szCs w:val="32"/>
        </w:rPr>
        <w:t>、绩溪·糸巷项目建设，谋划实施抽水蓄能电站景区建设项目。加快徽杭古道国家级体育旅游示范基地创建，举办全国性户外体育赛事，延长体育旅游产业链，规划建设体育产业园。加快旅游配套设施建设，加快发展住宿餐饮业和旅游产品开发。</w:t>
      </w:r>
    </w:p>
    <w:p>
      <w:pPr>
        <w:pStyle w:val="30"/>
        <w:spacing w:line="560" w:lineRule="exact"/>
        <w:ind w:firstLine="635" w:firstLineChars="200"/>
        <w:jc w:val="both"/>
        <w:outlineLvl w:val="1"/>
        <w:rPr>
          <w:rFonts w:hint="eastAsia" w:ascii="仿宋_GB2312" w:hAnsi="仿宋_GB2312" w:eastAsia="仿宋_GB2312" w:cs="仿宋_GB2312"/>
          <w:color w:val="auto"/>
          <w:spacing w:val="-2"/>
          <w:kern w:val="2"/>
          <w:sz w:val="32"/>
          <w:szCs w:val="32"/>
        </w:rPr>
      </w:pPr>
      <w:r>
        <w:rPr>
          <w:rFonts w:hint="eastAsia" w:ascii="仿宋_GB2312" w:hAnsi="仿宋_GB2312" w:eastAsia="仿宋_GB2312" w:cs="仿宋_GB2312"/>
          <w:b/>
          <w:bCs/>
          <w:color w:val="auto"/>
          <w:spacing w:val="-2"/>
          <w:kern w:val="2"/>
          <w:sz w:val="32"/>
          <w:szCs w:val="32"/>
          <w:lang w:val="en-US" w:eastAsia="zh-CN"/>
        </w:rPr>
        <w:t>扩大</w:t>
      </w:r>
      <w:r>
        <w:rPr>
          <w:rFonts w:hint="eastAsia" w:ascii="仿宋_GB2312" w:hAnsi="仿宋_GB2312" w:eastAsia="仿宋_GB2312" w:cs="仿宋_GB2312"/>
          <w:b/>
          <w:bCs/>
          <w:color w:val="auto"/>
          <w:spacing w:val="-2"/>
          <w:kern w:val="2"/>
          <w:sz w:val="32"/>
          <w:szCs w:val="32"/>
        </w:rPr>
        <w:t>旅游开放合作。</w:t>
      </w:r>
      <w:r>
        <w:rPr>
          <w:rFonts w:hint="eastAsia" w:ascii="仿宋_GB2312" w:hAnsi="仿宋_GB2312" w:eastAsia="仿宋_GB2312" w:cs="仿宋_GB2312"/>
          <w:color w:val="auto"/>
          <w:spacing w:val="-2"/>
          <w:kern w:val="2"/>
          <w:sz w:val="32"/>
          <w:szCs w:val="32"/>
        </w:rPr>
        <w:t>发挥国有旅游投资公司的平台作用，积极开展资本、人才引进，加快传统旅游资源整合。推进市内旅游合作，建立区域旅游协作网络，共推自驾游、古道游、文化寻根游等跨区域旅游精品线路，塑造区域旅游整体形象。加强与长三角地区旅游城市、杭</w:t>
      </w:r>
      <w:r>
        <w:rPr>
          <w:rFonts w:hint="eastAsia" w:ascii="仿宋_GB2312" w:hAnsi="仿宋_GB2312" w:eastAsia="仿宋_GB2312" w:cs="仿宋_GB2312"/>
          <w:color w:val="auto"/>
          <w:spacing w:val="-2"/>
          <w:kern w:val="2"/>
          <w:sz w:val="32"/>
          <w:szCs w:val="32"/>
          <w:lang w:val="en-US" w:eastAsia="zh-CN"/>
        </w:rPr>
        <w:t>绩</w:t>
      </w:r>
      <w:r>
        <w:rPr>
          <w:rFonts w:hint="eastAsia" w:ascii="仿宋_GB2312" w:hAnsi="仿宋_GB2312" w:eastAsia="仿宋_GB2312" w:cs="仿宋_GB2312"/>
          <w:color w:val="auto"/>
          <w:spacing w:val="-2"/>
          <w:kern w:val="2"/>
          <w:sz w:val="32"/>
          <w:szCs w:val="32"/>
        </w:rPr>
        <w:t>黄风景道沿线城市合作联动，合作共建杭黄世界级自然生态和文化旅游廊道，推进旅游基础设施、旅游交通、旅游营销一体化建设，形成区域旅游合作发展新格局。</w:t>
      </w:r>
    </w:p>
    <w:p>
      <w:pPr>
        <w:pStyle w:val="30"/>
        <w:spacing w:line="560" w:lineRule="exact"/>
        <w:ind w:firstLine="635" w:firstLineChars="200"/>
        <w:jc w:val="both"/>
        <w:outlineLvl w:val="1"/>
        <w:rPr>
          <w:rFonts w:hint="eastAsia" w:ascii="仿宋_GB2312" w:hAnsi="仿宋_GB2312" w:eastAsia="仿宋_GB2312" w:cs="仿宋_GB2312"/>
          <w:color w:val="auto"/>
          <w:spacing w:val="-2"/>
          <w:kern w:val="2"/>
          <w:sz w:val="32"/>
          <w:szCs w:val="32"/>
        </w:rPr>
      </w:pPr>
      <w:r>
        <w:rPr>
          <w:rFonts w:hint="eastAsia" w:ascii="仿宋_GB2312" w:hAnsi="仿宋_GB2312" w:eastAsia="仿宋_GB2312" w:cs="仿宋_GB2312"/>
          <w:b/>
          <w:bCs/>
          <w:color w:val="auto"/>
          <w:spacing w:val="-2"/>
          <w:kern w:val="2"/>
          <w:sz w:val="32"/>
          <w:szCs w:val="32"/>
        </w:rPr>
        <w:t>推动文化旅游互促。</w:t>
      </w:r>
      <w:r>
        <w:rPr>
          <w:rFonts w:hint="eastAsia" w:ascii="仿宋_GB2312" w:hAnsi="仿宋_GB2312" w:eastAsia="仿宋_GB2312" w:cs="仿宋_GB2312"/>
          <w:color w:val="auto"/>
          <w:spacing w:val="-2"/>
          <w:kern w:val="2"/>
          <w:sz w:val="32"/>
          <w:szCs w:val="32"/>
          <w:lang w:val="zh-CN" w:eastAsia="zh-CN" w:bidi="ar-SA"/>
        </w:rPr>
        <w:t>推进</w:t>
      </w:r>
      <w:r>
        <w:rPr>
          <w:rFonts w:hint="eastAsia" w:ascii="仿宋_GB2312" w:hAnsi="仿宋_GB2312" w:eastAsia="仿宋_GB2312" w:cs="仿宋_GB2312"/>
          <w:color w:val="auto"/>
          <w:spacing w:val="-2"/>
          <w:kern w:val="2"/>
          <w:sz w:val="32"/>
          <w:szCs w:val="32"/>
          <w:lang w:val="en-US" w:eastAsia="zh-CN" w:bidi="ar-SA"/>
        </w:rPr>
        <w:t>国家级</w:t>
      </w:r>
      <w:r>
        <w:rPr>
          <w:rFonts w:hint="eastAsia" w:ascii="仿宋_GB2312" w:hAnsi="仿宋_GB2312" w:eastAsia="仿宋_GB2312" w:cs="仿宋_GB2312"/>
          <w:color w:val="auto"/>
          <w:spacing w:val="-2"/>
          <w:kern w:val="2"/>
          <w:sz w:val="32"/>
          <w:szCs w:val="32"/>
          <w:lang w:val="zh-CN" w:eastAsia="zh-CN" w:bidi="ar-SA"/>
        </w:rPr>
        <w:t>徽文化生态保护区建设，</w:t>
      </w:r>
      <w:r>
        <w:rPr>
          <w:rFonts w:hint="eastAsia" w:ascii="仿宋_GB2312" w:hAnsi="仿宋_GB2312" w:eastAsia="仿宋_GB2312" w:cs="仿宋_GB2312"/>
          <w:color w:val="auto"/>
          <w:spacing w:val="-2"/>
          <w:kern w:val="2"/>
          <w:sz w:val="32"/>
          <w:szCs w:val="32"/>
        </w:rPr>
        <w:t>用好徽文化和绩溪名人资源，以爱国主义教育基地、廉政教育基地、文物保护单位、古村落、古民居等物质文化遗存为依托，发挥社会主义核心价值观现场教学基地和皖南黄高峰青年学习学院等平台作用，深挖文化内涵，把徽文化和红色文化研学旅游培育成绩溪旅游的核心竞争力。</w:t>
      </w:r>
      <w:r>
        <w:rPr>
          <w:rFonts w:hint="eastAsia" w:ascii="仿宋_GB2312" w:hAnsi="仿宋_GB2312" w:eastAsia="仿宋_GB2312" w:cs="仿宋_GB2312"/>
          <w:color w:val="auto"/>
          <w:spacing w:val="-2"/>
          <w:kern w:val="2"/>
          <w:sz w:val="32"/>
          <w:szCs w:val="32"/>
          <w:lang w:val="zh-CN" w:eastAsia="zh-CN" w:bidi="ar-SA"/>
        </w:rPr>
        <w:t>推进文化创意发展，突出数字文化模式应用，推动数字技术、数字化装备在文化产业领域的应用。发展“文化+”，促进数字技术在文化创作、生产、传播、消费等各环节的应用，谋划文化创意产业园。</w:t>
      </w:r>
      <w:r>
        <w:rPr>
          <w:rFonts w:hint="eastAsia" w:ascii="仿宋_GB2312" w:hAnsi="仿宋_GB2312" w:eastAsia="仿宋_GB2312" w:cs="仿宋_GB2312"/>
          <w:b w:val="0"/>
          <w:bCs w:val="0"/>
          <w:color w:val="auto"/>
          <w:spacing w:val="-2"/>
          <w:kern w:val="2"/>
          <w:sz w:val="32"/>
          <w:szCs w:val="32"/>
          <w:lang w:val="en-US" w:eastAsia="zh-CN" w:bidi="ar-SA"/>
        </w:rPr>
        <w:t>加强非遗保护和利用。</w:t>
      </w:r>
      <w:r>
        <w:rPr>
          <w:rFonts w:hint="eastAsia" w:ascii="仿宋_GB2312" w:hAnsi="仿宋_GB2312" w:eastAsia="仿宋_GB2312" w:cs="仿宋_GB2312"/>
          <w:b w:val="0"/>
          <w:bCs w:val="0"/>
          <w:color w:val="auto"/>
          <w:spacing w:val="-2"/>
          <w:kern w:val="2"/>
          <w:sz w:val="32"/>
          <w:szCs w:val="32"/>
          <w:lang w:val="zh-CN" w:eastAsia="zh-CN" w:bidi="ar-SA"/>
        </w:rPr>
        <w:t>巩</w:t>
      </w:r>
      <w:r>
        <w:rPr>
          <w:rFonts w:hint="eastAsia" w:ascii="仿宋_GB2312" w:hAnsi="仿宋_GB2312" w:eastAsia="仿宋_GB2312" w:cs="仿宋_GB2312"/>
          <w:color w:val="auto"/>
          <w:spacing w:val="-2"/>
          <w:kern w:val="2"/>
          <w:sz w:val="32"/>
          <w:szCs w:val="32"/>
          <w:lang w:val="zh-CN" w:eastAsia="zh-CN" w:bidi="ar-SA"/>
        </w:rPr>
        <w:t>固徽墨产业发展优势，加快绩溪徽菜博物馆建设，</w:t>
      </w:r>
      <w:r>
        <w:rPr>
          <w:rFonts w:hint="eastAsia" w:ascii="仿宋_GB2312" w:hAnsi="仿宋_GB2312" w:eastAsia="仿宋_GB2312" w:cs="仿宋_GB2312"/>
          <w:color w:val="auto"/>
          <w:spacing w:val="-2"/>
          <w:kern w:val="2"/>
          <w:sz w:val="32"/>
          <w:szCs w:val="32"/>
          <w:lang w:val="en-US" w:eastAsia="zh-CN" w:bidi="ar-SA"/>
        </w:rPr>
        <w:t>推进</w:t>
      </w:r>
      <w:r>
        <w:rPr>
          <w:rFonts w:hint="eastAsia" w:ascii="仿宋_GB2312" w:hAnsi="仿宋_GB2312" w:eastAsia="仿宋_GB2312" w:cs="仿宋_GB2312"/>
          <w:color w:val="auto"/>
          <w:spacing w:val="-2"/>
          <w:kern w:val="2"/>
          <w:sz w:val="32"/>
          <w:szCs w:val="32"/>
          <w:lang w:val="zh-CN" w:eastAsia="zh-CN" w:bidi="ar-SA"/>
        </w:rPr>
        <w:t>徽菜国家级非遗项目</w:t>
      </w:r>
      <w:r>
        <w:rPr>
          <w:rFonts w:hint="eastAsia" w:ascii="仿宋_GB2312" w:hAnsi="仿宋_GB2312" w:eastAsia="仿宋_GB2312" w:cs="仿宋_GB2312"/>
          <w:color w:val="auto"/>
          <w:spacing w:val="-2"/>
          <w:kern w:val="2"/>
          <w:sz w:val="32"/>
          <w:szCs w:val="32"/>
          <w:lang w:val="en-US" w:eastAsia="zh-CN" w:bidi="ar-SA"/>
        </w:rPr>
        <w:t>建设</w:t>
      </w:r>
      <w:r>
        <w:rPr>
          <w:rFonts w:hint="eastAsia" w:ascii="仿宋_GB2312" w:hAnsi="仿宋_GB2312" w:eastAsia="仿宋_GB2312" w:cs="仿宋_GB2312"/>
          <w:color w:val="auto"/>
          <w:spacing w:val="-2"/>
          <w:kern w:val="2"/>
          <w:sz w:val="32"/>
          <w:szCs w:val="32"/>
          <w:lang w:val="zh-CN" w:eastAsia="zh-CN" w:bidi="ar-SA"/>
        </w:rPr>
        <w:t>。筹划建成绩溪县数字化非遗展示中心建设，宣传徽</w:t>
      </w:r>
      <w:r>
        <w:rPr>
          <w:rFonts w:hint="eastAsia" w:ascii="仿宋_GB2312" w:hAnsi="仿宋_GB2312" w:eastAsia="仿宋_GB2312" w:cs="仿宋_GB2312"/>
          <w:color w:val="auto"/>
          <w:spacing w:val="-2"/>
          <w:kern w:val="2"/>
          <w:sz w:val="32"/>
          <w:szCs w:val="32"/>
          <w:lang w:val="en-US" w:eastAsia="zh-CN" w:bidi="ar-SA"/>
        </w:rPr>
        <w:t>杭</w:t>
      </w:r>
      <w:r>
        <w:rPr>
          <w:rFonts w:hint="eastAsia" w:ascii="仿宋_GB2312" w:hAnsi="仿宋_GB2312" w:eastAsia="仿宋_GB2312" w:cs="仿宋_GB2312"/>
          <w:color w:val="auto"/>
          <w:spacing w:val="-2"/>
          <w:kern w:val="2"/>
          <w:sz w:val="32"/>
          <w:szCs w:val="32"/>
          <w:lang w:val="zh-CN" w:eastAsia="zh-CN" w:bidi="ar-SA"/>
        </w:rPr>
        <w:t>古道徽商精神，打造传统村落乡村暨徽文化旅游的集聚区。</w:t>
      </w:r>
    </w:p>
    <w:p>
      <w:pPr>
        <w:pStyle w:val="30"/>
        <w:spacing w:line="560" w:lineRule="exact"/>
        <w:ind w:firstLine="635" w:firstLineChars="200"/>
        <w:jc w:val="both"/>
        <w:outlineLvl w:val="1"/>
        <w:rPr>
          <w:rFonts w:ascii="仿宋_GB2312" w:hAnsi="仿宋_GB2312" w:eastAsia="仿宋_GB2312" w:cs="仿宋_GB2312"/>
          <w:color w:val="auto"/>
          <w:spacing w:val="-2"/>
          <w:kern w:val="2"/>
          <w:sz w:val="32"/>
          <w:szCs w:val="32"/>
        </w:rPr>
      </w:pPr>
      <w:r>
        <w:rPr>
          <w:rFonts w:hint="eastAsia" w:ascii="仿宋_GB2312" w:hAnsi="仿宋_GB2312" w:eastAsia="仿宋_GB2312" w:cs="仿宋_GB2312"/>
          <w:b/>
          <w:bCs/>
          <w:color w:val="auto"/>
          <w:spacing w:val="-2"/>
          <w:kern w:val="2"/>
          <w:sz w:val="32"/>
          <w:szCs w:val="32"/>
          <w:lang w:val="en-US" w:eastAsia="zh-CN"/>
        </w:rPr>
        <w:t>促进文旅康养融合</w:t>
      </w:r>
      <w:r>
        <w:rPr>
          <w:rFonts w:hint="eastAsia" w:ascii="仿宋_GB2312" w:hAnsi="仿宋_GB2312" w:eastAsia="仿宋_GB2312" w:cs="仿宋_GB2312"/>
          <w:b/>
          <w:bCs/>
          <w:color w:val="auto"/>
          <w:spacing w:val="-2"/>
          <w:kern w:val="2"/>
          <w:sz w:val="32"/>
          <w:szCs w:val="32"/>
        </w:rPr>
        <w:t>。</w:t>
      </w:r>
      <w:r>
        <w:rPr>
          <w:rFonts w:hint="eastAsia" w:ascii="仿宋_GB2312" w:hAnsi="仿宋_GB2312" w:eastAsia="仿宋_GB2312" w:cs="仿宋_GB2312"/>
          <w:b w:val="0"/>
          <w:bCs w:val="0"/>
          <w:color w:val="auto"/>
          <w:spacing w:val="-2"/>
          <w:kern w:val="2"/>
          <w:sz w:val="32"/>
          <w:szCs w:val="32"/>
          <w:lang w:val="en-US" w:eastAsia="zh-CN"/>
        </w:rPr>
        <w:t>推动</w:t>
      </w:r>
      <w:r>
        <w:rPr>
          <w:rFonts w:hint="eastAsia" w:ascii="仿宋_GB2312" w:hAnsi="仿宋_GB2312" w:eastAsia="仿宋_GB2312" w:cs="仿宋_GB2312"/>
          <w:b w:val="0"/>
          <w:bCs w:val="0"/>
          <w:color w:val="auto"/>
          <w:spacing w:val="-2"/>
          <w:kern w:val="2"/>
          <w:sz w:val="32"/>
          <w:szCs w:val="32"/>
        </w:rPr>
        <w:t>养</w:t>
      </w:r>
      <w:r>
        <w:rPr>
          <w:rFonts w:hint="eastAsia" w:ascii="仿宋_GB2312" w:hAnsi="仿宋_GB2312" w:eastAsia="仿宋_GB2312" w:cs="仿宋_GB2312"/>
          <w:color w:val="auto"/>
          <w:spacing w:val="-2"/>
          <w:kern w:val="2"/>
          <w:sz w:val="32"/>
          <w:szCs w:val="32"/>
        </w:rPr>
        <w:t>老养生与医疗、中医药、康复疗养、体育、旅游、文化、农业</w:t>
      </w:r>
      <w:r>
        <w:rPr>
          <w:rFonts w:hint="eastAsia" w:ascii="仿宋_GB2312" w:hAnsi="仿宋_GB2312" w:eastAsia="仿宋_GB2312" w:cs="仿宋_GB2312"/>
          <w:color w:val="auto"/>
          <w:spacing w:val="-2"/>
          <w:kern w:val="2"/>
          <w:sz w:val="32"/>
          <w:szCs w:val="32"/>
          <w:lang w:val="en-US" w:eastAsia="zh-CN"/>
        </w:rPr>
        <w:t>相</w:t>
      </w:r>
      <w:r>
        <w:rPr>
          <w:rFonts w:hint="eastAsia" w:ascii="仿宋_GB2312" w:hAnsi="仿宋_GB2312" w:eastAsia="仿宋_GB2312" w:cs="仿宋_GB2312"/>
          <w:color w:val="auto"/>
          <w:spacing w:val="-2"/>
          <w:kern w:val="2"/>
          <w:sz w:val="32"/>
          <w:szCs w:val="32"/>
        </w:rPr>
        <w:t>融合，提升产业价值链。深入实施“互联网+健康”行动，培育发展互联网医院、智慧医疗、远程医疗、智慧养老、智慧体育等新业态。支持健康医疗大数据平台建设，推进健康医疗大数据资源开发应用。加快发展居家养老、社会养老等，推进森林文化康养旅游，谋划康养小镇建设。</w:t>
      </w: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899"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ascii="宋体" w:hAnsi="Calibri" w:eastAsia="宋体" w:cs="宋体"/>
                <w:color w:val="auto"/>
                <w:kern w:val="0"/>
                <w:sz w:val="24"/>
                <w:lang w:val="zh-CN"/>
              </w:rPr>
            </w:pPr>
            <w:r>
              <w:rPr>
                <w:rFonts w:hint="eastAsia" w:ascii="仿宋" w:hAnsi="仿宋" w:eastAsia="仿宋"/>
                <w:b/>
                <w:color w:val="auto"/>
                <w:sz w:val="28"/>
                <w:szCs w:val="28"/>
              </w:rPr>
              <w:t>专栏</w:t>
            </w:r>
            <w:r>
              <w:rPr>
                <w:rFonts w:hint="eastAsia" w:ascii="仿宋" w:hAnsi="仿宋" w:eastAsia="仿宋"/>
                <w:b/>
                <w:color w:val="auto"/>
                <w:sz w:val="28"/>
                <w:szCs w:val="28"/>
                <w:lang w:val="en-US" w:eastAsia="zh-CN"/>
              </w:rPr>
              <w:t>9</w:t>
            </w:r>
            <w:r>
              <w:rPr>
                <w:rFonts w:hint="eastAsia" w:ascii="仿宋" w:hAnsi="仿宋" w:eastAsia="仿宋"/>
                <w:b/>
                <w:color w:val="auto"/>
                <w:sz w:val="28"/>
                <w:szCs w:val="28"/>
              </w:rPr>
              <w:t xml:space="preserve"> 旅游业全景式发展布局</w:t>
            </w:r>
          </w:p>
        </w:tc>
      </w:tr>
      <w:tr>
        <w:tblPrEx>
          <w:tblCellMar>
            <w:top w:w="0" w:type="dxa"/>
            <w:left w:w="108" w:type="dxa"/>
            <w:bottom w:w="0" w:type="dxa"/>
            <w:right w:w="108" w:type="dxa"/>
          </w:tblCellMar>
        </w:tblPrEx>
        <w:trPr>
          <w:trHeight w:val="1"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0"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以全域旅游发展为总揽，把全县域作为一个大景区来谋划布局，以旅游的理念构图设计，用景区的标准建设城乡，全面提升旅游元素、美丽指数。形成“一</w:t>
            </w:r>
            <w:r>
              <w:rPr>
                <w:rFonts w:hint="eastAsia" w:ascii="仿宋_GB2312" w:hAnsi="仿宋_GB2312" w:eastAsia="仿宋_GB2312" w:cs="仿宋_GB2312"/>
                <w:bCs/>
                <w:color w:val="auto"/>
                <w:sz w:val="28"/>
                <w:szCs w:val="28"/>
                <w:lang w:val="en-US" w:eastAsia="zh-CN"/>
              </w:rPr>
              <w:t>核</w:t>
            </w:r>
            <w:r>
              <w:rPr>
                <w:rFonts w:hint="eastAsia" w:ascii="仿宋_GB2312" w:hAnsi="仿宋_GB2312" w:eastAsia="仿宋_GB2312" w:cs="仿宋_GB2312"/>
                <w:bCs/>
                <w:color w:val="auto"/>
                <w:sz w:val="28"/>
                <w:szCs w:val="28"/>
              </w:rPr>
              <w:t>、一廊、一路、两翼、百村”布局。</w:t>
            </w:r>
          </w:p>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val="0"/>
                <w:color w:val="auto"/>
                <w:sz w:val="28"/>
                <w:szCs w:val="28"/>
              </w:rPr>
              <w:t>一</w:t>
            </w:r>
            <w:r>
              <w:rPr>
                <w:rFonts w:hint="eastAsia" w:ascii="仿宋_GB2312" w:hAnsi="仿宋_GB2312" w:eastAsia="仿宋_GB2312" w:cs="仿宋_GB2312"/>
                <w:b/>
                <w:bCs w:val="0"/>
                <w:color w:val="auto"/>
                <w:sz w:val="28"/>
                <w:szCs w:val="28"/>
                <w:lang w:val="en-US" w:eastAsia="zh-CN"/>
              </w:rPr>
              <w:t>核</w:t>
            </w:r>
            <w:r>
              <w:rPr>
                <w:rFonts w:hint="eastAsia" w:ascii="仿宋_GB2312" w:hAnsi="仿宋_GB2312" w:eastAsia="仿宋_GB2312" w:cs="仿宋_GB2312"/>
                <w:b/>
                <w:bCs w:val="0"/>
                <w:color w:val="auto"/>
                <w:sz w:val="28"/>
                <w:szCs w:val="28"/>
              </w:rPr>
              <w:t>：</w:t>
            </w:r>
            <w:r>
              <w:rPr>
                <w:rFonts w:hint="eastAsia" w:ascii="仿宋_GB2312" w:hAnsi="仿宋_GB2312" w:eastAsia="仿宋_GB2312" w:cs="仿宋_GB2312"/>
                <w:bCs/>
                <w:color w:val="auto"/>
                <w:sz w:val="28"/>
                <w:szCs w:val="28"/>
              </w:rPr>
              <w:t>围绕国家历史文化名城，保护提升“三馆两街区一学宫”（绩溪博物馆、三雕博物馆、胡雪岩纪念馆，西山、白石鼓历史文化街区，江南第一学宫），建设古城旅游环线，打造文旅融合体验区。</w:t>
            </w:r>
          </w:p>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val="0"/>
                <w:color w:val="auto"/>
                <w:sz w:val="28"/>
                <w:szCs w:val="28"/>
              </w:rPr>
              <w:t>一廊：</w:t>
            </w:r>
            <w:r>
              <w:rPr>
                <w:rFonts w:hint="eastAsia" w:ascii="仿宋_GB2312" w:hAnsi="仿宋_GB2312" w:eastAsia="仿宋_GB2312" w:cs="仿宋_GB2312"/>
                <w:bCs/>
                <w:color w:val="auto"/>
                <w:sz w:val="28"/>
                <w:szCs w:val="28"/>
              </w:rPr>
              <w:t>建设百里历史文化生态走廊，重点打造龙川、徽杭古道、鄣山大峡谷等6个3A级以上景区。</w:t>
            </w:r>
          </w:p>
          <w:p>
            <w:pPr>
              <w:keepNext w:val="0"/>
              <w:keepLines w:val="0"/>
              <w:pageBreakBefore w:val="0"/>
              <w:widowControl w:val="0"/>
              <w:kinsoku/>
              <w:wordWrap/>
              <w:overflowPunct/>
              <w:topLinePunct w:val="0"/>
              <w:autoSpaceDE w:val="0"/>
              <w:autoSpaceDN w:val="0"/>
              <w:bidi w:val="0"/>
              <w:adjustRightInd w:val="0"/>
              <w:snapToGrid/>
              <w:spacing w:before="156" w:line="42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val="0"/>
                <w:color w:val="auto"/>
                <w:sz w:val="28"/>
                <w:szCs w:val="28"/>
              </w:rPr>
              <w:t>一路：</w:t>
            </w:r>
            <w:r>
              <w:rPr>
                <w:rFonts w:hint="eastAsia" w:ascii="仿宋_GB2312" w:hAnsi="仿宋_GB2312" w:eastAsia="仿宋_GB2312" w:cs="仿宋_GB2312"/>
                <w:bCs/>
                <w:color w:val="auto"/>
                <w:sz w:val="28"/>
                <w:szCs w:val="28"/>
              </w:rPr>
              <w:t>建设皖浙天路，打造长三角最美自驾风景道、户外运动精品线。</w:t>
            </w:r>
          </w:p>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bCs w:val="0"/>
                <w:color w:val="auto"/>
                <w:sz w:val="28"/>
                <w:szCs w:val="28"/>
              </w:rPr>
              <w:t>两翼：</w:t>
            </w:r>
            <w:r>
              <w:rPr>
                <w:rFonts w:hint="eastAsia" w:ascii="仿宋_GB2312" w:hAnsi="仿宋_GB2312" w:eastAsia="仿宋_GB2312" w:cs="仿宋_GB2312"/>
                <w:bCs/>
                <w:color w:val="auto"/>
                <w:sz w:val="28"/>
                <w:szCs w:val="28"/>
              </w:rPr>
              <w:t>以伏岭徽州味·道</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上庄雕刻时光等旅游小镇为依托，建设岭南、岭北两大乡村旅游片区。</w:t>
            </w:r>
          </w:p>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ascii="华文楷体" w:hAnsi="华文楷体" w:eastAsia="华文楷体" w:cs="Times New Roman"/>
                <w:b/>
                <w:color w:val="auto"/>
                <w:sz w:val="24"/>
                <w:szCs w:val="28"/>
              </w:rPr>
            </w:pPr>
            <w:r>
              <w:rPr>
                <w:rFonts w:hint="eastAsia" w:ascii="仿宋_GB2312" w:hAnsi="仿宋_GB2312" w:eastAsia="仿宋_GB2312" w:cs="仿宋_GB2312"/>
                <w:b/>
                <w:bCs w:val="0"/>
                <w:color w:val="auto"/>
                <w:sz w:val="28"/>
                <w:szCs w:val="28"/>
              </w:rPr>
              <w:t>百村：</w:t>
            </w:r>
            <w:r>
              <w:rPr>
                <w:rFonts w:hint="eastAsia" w:ascii="仿宋_GB2312" w:hAnsi="仿宋_GB2312" w:eastAsia="仿宋_GB2312" w:cs="仿宋_GB2312"/>
                <w:bCs/>
                <w:color w:val="auto"/>
                <w:sz w:val="28"/>
                <w:szCs w:val="28"/>
              </w:rPr>
              <w:t>实施百个景区村庄创建工程，因地制宜、因村施策、差异发展，打造100个特色彰显、宜居宜游的景区村庄，抓点连线成面，着力构建全域旅游新格局。</w:t>
            </w:r>
          </w:p>
        </w:tc>
      </w:tr>
    </w:tbl>
    <w:p>
      <w:pPr>
        <w:pStyle w:val="2"/>
      </w:pPr>
    </w:p>
    <w:tbl>
      <w:tblPr>
        <w:tblStyle w:val="14"/>
        <w:tblW w:w="8580" w:type="dxa"/>
        <w:jc w:val="center"/>
        <w:tblLayout w:type="fixed"/>
        <w:tblCellMar>
          <w:top w:w="0" w:type="dxa"/>
          <w:left w:w="108" w:type="dxa"/>
          <w:bottom w:w="0" w:type="dxa"/>
          <w:right w:w="108" w:type="dxa"/>
        </w:tblCellMar>
      </w:tblPr>
      <w:tblGrid>
        <w:gridCol w:w="8580"/>
      </w:tblGrid>
      <w:tr>
        <w:tblPrEx>
          <w:tblCellMar>
            <w:top w:w="0" w:type="dxa"/>
            <w:left w:w="108" w:type="dxa"/>
            <w:bottom w:w="0" w:type="dxa"/>
            <w:right w:w="108" w:type="dxa"/>
          </w:tblCellMar>
        </w:tblPrEx>
        <w:trPr>
          <w:trHeight w:val="944" w:hRule="atLeast"/>
          <w:jc w:val="center"/>
        </w:trPr>
        <w:tc>
          <w:tcPr>
            <w:tcW w:w="85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ascii="宋体" w:hAnsi="Calibri" w:eastAsia="宋体" w:cs="宋体"/>
                <w:color w:val="auto"/>
                <w:kern w:val="0"/>
                <w:sz w:val="24"/>
                <w:lang w:val="zh-CN"/>
              </w:rPr>
            </w:pPr>
            <w:r>
              <w:rPr>
                <w:rFonts w:hint="eastAsia" w:ascii="仿宋" w:hAnsi="仿宋" w:eastAsia="仿宋"/>
                <w:b/>
                <w:color w:val="auto"/>
                <w:sz w:val="28"/>
                <w:szCs w:val="28"/>
              </w:rPr>
              <w:t>专栏</w:t>
            </w:r>
            <w:r>
              <w:rPr>
                <w:rFonts w:hint="eastAsia" w:ascii="仿宋" w:hAnsi="仿宋" w:eastAsia="仿宋"/>
                <w:b/>
                <w:color w:val="auto"/>
                <w:sz w:val="28"/>
                <w:szCs w:val="28"/>
                <w:lang w:val="en-US" w:eastAsia="zh-CN"/>
              </w:rPr>
              <w:t>10</w:t>
            </w:r>
            <w:r>
              <w:rPr>
                <w:rFonts w:hint="eastAsia" w:ascii="仿宋" w:hAnsi="仿宋" w:eastAsia="仿宋"/>
                <w:b/>
                <w:color w:val="auto"/>
                <w:sz w:val="28"/>
                <w:szCs w:val="28"/>
              </w:rPr>
              <w:t xml:space="preserve"> 文化旅游重点项目</w:t>
            </w:r>
          </w:p>
        </w:tc>
      </w:tr>
      <w:tr>
        <w:tblPrEx>
          <w:tblCellMar>
            <w:top w:w="0" w:type="dxa"/>
            <w:left w:w="108" w:type="dxa"/>
            <w:bottom w:w="0" w:type="dxa"/>
            <w:right w:w="108" w:type="dxa"/>
          </w:tblCellMar>
        </w:tblPrEx>
        <w:trPr>
          <w:trHeight w:val="786" w:hRule="atLeast"/>
          <w:jc w:val="center"/>
        </w:trPr>
        <w:tc>
          <w:tcPr>
            <w:tcW w:w="8580"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440" w:lineRule="exact"/>
              <w:ind w:firstLine="560" w:firstLineChars="200"/>
              <w:textAlignment w:val="auto"/>
              <w:outlineLvl w:val="1"/>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古城旅游投资项目、徽味文化历史街区建设项目、“绩溪·糸巷”美食城文旅综合体项目、徽菜文化园项目、徽菜品牌连锁店项目、“教育培训+研学旅游”综合体项目；</w:t>
            </w:r>
          </w:p>
          <w:p>
            <w:pPr>
              <w:keepNext w:val="0"/>
              <w:keepLines w:val="0"/>
              <w:pageBreakBefore w:val="0"/>
              <w:widowControl w:val="0"/>
              <w:kinsoku/>
              <w:wordWrap/>
              <w:overflowPunct/>
              <w:topLinePunct w:val="0"/>
              <w:autoSpaceDE w:val="0"/>
              <w:autoSpaceDN w:val="0"/>
              <w:bidi w:val="0"/>
              <w:adjustRightInd w:val="0"/>
              <w:snapToGrid/>
              <w:spacing w:before="156" w:line="440" w:lineRule="exact"/>
              <w:ind w:firstLine="560" w:firstLineChars="200"/>
              <w:textAlignment w:val="auto"/>
              <w:outlineLvl w:val="1"/>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徽之源文化产业集聚区及徽文化生态保护项目、仁里古镇文旅综合开发项目、云栖山院文创产业园项目；</w:t>
            </w:r>
          </w:p>
          <w:p>
            <w:pPr>
              <w:keepNext w:val="0"/>
              <w:keepLines w:val="0"/>
              <w:pageBreakBefore w:val="0"/>
              <w:widowControl w:val="0"/>
              <w:kinsoku/>
              <w:wordWrap/>
              <w:overflowPunct/>
              <w:topLinePunct w:val="0"/>
              <w:autoSpaceDE w:val="0"/>
              <w:autoSpaceDN w:val="0"/>
              <w:bidi w:val="0"/>
              <w:adjustRightInd w:val="0"/>
              <w:snapToGrid/>
              <w:spacing w:before="156" w:line="440" w:lineRule="exact"/>
              <w:ind w:firstLine="560" w:firstLineChars="200"/>
              <w:textAlignment w:val="auto"/>
              <w:outlineLvl w:val="1"/>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皖浙天路最美风景线项目、家朋旅游休闲综合体项目、李夏公园建设项目；</w:t>
            </w:r>
          </w:p>
          <w:p>
            <w:pPr>
              <w:keepNext w:val="0"/>
              <w:keepLines w:val="0"/>
              <w:pageBreakBefore w:val="0"/>
              <w:widowControl w:val="0"/>
              <w:kinsoku/>
              <w:wordWrap/>
              <w:overflowPunct/>
              <w:topLinePunct w:val="0"/>
              <w:autoSpaceDE w:val="0"/>
              <w:autoSpaceDN w:val="0"/>
              <w:bidi w:val="0"/>
              <w:adjustRightInd w:val="0"/>
              <w:snapToGrid/>
              <w:spacing w:before="156" w:line="440" w:lineRule="exact"/>
              <w:ind w:firstLine="560" w:firstLineChars="200"/>
              <w:textAlignment w:val="auto"/>
              <w:outlineLvl w:val="1"/>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徽州味·道三馆一中心建设项目、康养区建设项目及高端民宿建设项目、上庄徽雕研创中心建设项目、放空地旅游度假区项目、杨桃岭古道基础设施建设项目、虎山头徽岭旅游度假区项目、皖南黄高峰青年学习学院提升项目；</w:t>
            </w:r>
          </w:p>
          <w:p>
            <w:pPr>
              <w:keepNext w:val="0"/>
              <w:keepLines w:val="0"/>
              <w:pageBreakBefore w:val="0"/>
              <w:widowControl w:val="0"/>
              <w:kinsoku/>
              <w:wordWrap/>
              <w:overflowPunct/>
              <w:topLinePunct w:val="0"/>
              <w:autoSpaceDE w:val="0"/>
              <w:autoSpaceDN w:val="0"/>
              <w:bidi w:val="0"/>
              <w:adjustRightInd w:val="0"/>
              <w:snapToGrid/>
              <w:spacing w:before="156" w:line="440" w:lineRule="exact"/>
              <w:ind w:firstLine="560" w:firstLineChars="200"/>
              <w:textAlignment w:val="auto"/>
              <w:outlineLvl w:val="1"/>
              <w:rPr>
                <w:rFonts w:ascii="仿宋" w:hAnsi="仿宋" w:eastAsia="仿宋" w:cs="Times New Roman"/>
                <w:color w:val="auto"/>
                <w:sz w:val="24"/>
                <w:szCs w:val="28"/>
              </w:rPr>
            </w:pPr>
            <w:r>
              <w:rPr>
                <w:rFonts w:hint="eastAsia" w:ascii="仿宋_GB2312" w:hAnsi="仿宋_GB2312" w:eastAsia="仿宋_GB2312" w:cs="仿宋_GB2312"/>
                <w:bCs/>
                <w:sz w:val="28"/>
                <w:szCs w:val="28"/>
              </w:rPr>
              <w:t>乡村文化礼堂建设项目、扬溪源怀旧养生休闲基地项目、扬溪源水库生态休闲旅游景区项目、徽山碧水景区建设、明堂岱艺术村民宿、八朗礁精品民宿等一批民宿项目。</w:t>
            </w:r>
          </w:p>
        </w:tc>
      </w:tr>
    </w:tbl>
    <w:p>
      <w:pPr>
        <w:pStyle w:val="4"/>
        <w:spacing w:before="0" w:after="0" w:line="240" w:lineRule="auto"/>
        <w:jc w:val="center"/>
        <w:outlineLvl w:val="1"/>
        <w:rPr>
          <w:rFonts w:ascii="仿宋_GB2312" w:hAnsi="楷体" w:eastAsia="仿宋_GB2312"/>
          <w:color w:val="auto"/>
          <w:szCs w:val="30"/>
        </w:rPr>
      </w:pPr>
      <w:bookmarkStart w:id="222" w:name="_Toc8263"/>
      <w:bookmarkStart w:id="223" w:name="_Toc30317"/>
      <w:bookmarkStart w:id="224" w:name="_Toc27565_WPSOffice_Level2"/>
      <w:bookmarkStart w:id="225" w:name="_Toc59725708"/>
      <w:bookmarkStart w:id="226" w:name="_Toc28186"/>
      <w:r>
        <w:rPr>
          <w:rFonts w:hint="eastAsia" w:ascii="仿宋_GB2312" w:hAnsi="楷体" w:eastAsia="仿宋_GB2312"/>
          <w:color w:val="auto"/>
          <w:szCs w:val="30"/>
        </w:rPr>
        <w:t>第四节  培育壮大数字经济产业</w:t>
      </w:r>
      <w:bookmarkEnd w:id="222"/>
      <w:bookmarkEnd w:id="223"/>
      <w:bookmarkEnd w:id="224"/>
      <w:bookmarkEnd w:id="225"/>
      <w:bookmarkEnd w:id="226"/>
    </w:p>
    <w:p>
      <w:pPr>
        <w:spacing w:line="240" w:lineRule="exact"/>
        <w:ind w:firstLine="800" w:firstLineChars="250"/>
        <w:jc w:val="center"/>
        <w:outlineLvl w:val="1"/>
        <w:rPr>
          <w:rFonts w:eastAsia="仿宋_GB2312"/>
          <w:color w:val="auto"/>
          <w:kern w:val="0"/>
          <w:sz w:val="32"/>
          <w:szCs w:val="32"/>
        </w:rPr>
      </w:pPr>
    </w:p>
    <w:p>
      <w:pPr>
        <w:keepNext w:val="0"/>
        <w:keepLines w:val="0"/>
        <w:pageBreakBefore w:val="0"/>
        <w:widowControl w:val="0"/>
        <w:kinsoku/>
        <w:wordWrap/>
        <w:overflowPunct/>
        <w:topLinePunct w:val="0"/>
        <w:bidi w:val="0"/>
        <w:adjustRightInd/>
        <w:snapToGrid/>
        <w:spacing w:line="560" w:lineRule="exact"/>
        <w:ind w:firstLine="632"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突出数字化引领、撬动、赋能作用，推动数字经济和实体经济深度融合，依托省级电子商务集聚示范区，全力打造皖南数字经济产业集聚区。力争到2025年数字经济产业产值达到100亿元以上。</w:t>
      </w:r>
    </w:p>
    <w:p>
      <w:pPr>
        <w:pStyle w:val="2"/>
        <w:keepNext w:val="0"/>
        <w:keepLines w:val="0"/>
        <w:pageBreakBefore w:val="0"/>
        <w:widowControl w:val="0"/>
        <w:kinsoku/>
        <w:wordWrap/>
        <w:overflowPunct/>
        <w:topLinePunct w:val="0"/>
        <w:bidi w:val="0"/>
        <w:adjustRightInd/>
        <w:snapToGrid/>
        <w:spacing w:line="560" w:lineRule="exact"/>
        <w:ind w:firstLine="635" w:firstLineChars="200"/>
        <w:jc w:val="both"/>
        <w:textAlignment w:val="auto"/>
        <w:outlineLvl w:val="1"/>
        <w:rPr>
          <w:rFonts w:ascii="仿宋_GB2312" w:eastAsia="仿宋_GB2312"/>
          <w:color w:val="auto"/>
        </w:rPr>
      </w:pPr>
      <w:r>
        <w:rPr>
          <w:rFonts w:hint="eastAsia" w:ascii="仿宋_GB2312" w:hAnsi="仿宋_GB2312" w:eastAsia="仿宋_GB2312" w:cs="仿宋_GB2312"/>
          <w:b/>
          <w:bCs/>
          <w:color w:val="auto"/>
          <w:spacing w:val="-2"/>
          <w:kern w:val="2"/>
        </w:rPr>
        <w:t>加快推动数字产业化攀升。</w:t>
      </w:r>
      <w:r>
        <w:rPr>
          <w:rFonts w:hint="eastAsia" w:ascii="仿宋_GB2312" w:hAnsi="仿宋_GB2312" w:eastAsia="仿宋_GB2312" w:cs="仿宋_GB2312"/>
          <w:color w:val="auto"/>
          <w:spacing w:val="-2"/>
          <w:kern w:val="2"/>
        </w:rPr>
        <w:t>加强与杭州知名数字产业园合作，</w:t>
      </w:r>
      <w:r>
        <w:rPr>
          <w:rFonts w:hint="eastAsia" w:ascii="仿宋_GB2312" w:hAnsi="仿宋_GB2312" w:eastAsia="仿宋_GB2312" w:cs="仿宋_GB2312"/>
          <w:color w:val="auto"/>
          <w:spacing w:val="-2"/>
          <w:kern w:val="2"/>
          <w:lang w:val="en-US" w:eastAsia="zh-CN"/>
        </w:rPr>
        <w:t>努力推动共建数字产业园，</w:t>
      </w:r>
      <w:r>
        <w:rPr>
          <w:rFonts w:hint="eastAsia" w:ascii="仿宋_GB2312" w:hAnsi="仿宋_GB2312" w:eastAsia="仿宋_GB2312" w:cs="仿宋_GB2312"/>
          <w:color w:val="auto"/>
          <w:spacing w:val="-2"/>
          <w:kern w:val="2"/>
        </w:rPr>
        <w:t>积极发展电子商务、大数据、物联网、数字创意、移动传播，形成高质量发展新增长点。提升省级电子商务产业集聚示范区，打造一批省级农村电商示范镇、示范村，支持安徽碧橙网络、徽味堂电商、聚尚仁合等企业争创国家、省级电商示范企业。加强与数字经济头部企业合作，共建阿里淘宝镇、淘宝村。</w:t>
      </w:r>
      <w:r>
        <w:rPr>
          <w:rFonts w:hint="eastAsia" w:ascii="仿宋_GB2312" w:hAnsi="仿宋_GB2312" w:eastAsia="仿宋_GB2312" w:cs="仿宋_GB2312"/>
          <w:color w:val="auto"/>
        </w:rPr>
        <w:t>培育发展以在线化、数字化、融合化为鲜明特征的平台经济、共享经济、在线经济、网红经济等新业态新模式。到2025年全县网络交易额突破150亿元，培育年网络交易额超50亿元企业1户、超10亿元企业1户，农产品网销额超5亿元企业1户、超亿元企业5户以上。</w:t>
      </w:r>
    </w:p>
    <w:p>
      <w:pPr>
        <w:keepNext w:val="0"/>
        <w:keepLines w:val="0"/>
        <w:pageBreakBefore w:val="0"/>
        <w:widowControl w:val="0"/>
        <w:kinsoku/>
        <w:wordWrap/>
        <w:overflowPunct/>
        <w:topLinePunct w:val="0"/>
        <w:bidi w:val="0"/>
        <w:adjustRightInd/>
        <w:snapToGrid/>
        <w:spacing w:line="560" w:lineRule="exact"/>
        <w:ind w:firstLine="635"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sz w:val="32"/>
          <w:szCs w:val="32"/>
        </w:rPr>
        <w:t>全面提升产业数字化水平。</w:t>
      </w:r>
      <w:r>
        <w:rPr>
          <w:rFonts w:hint="eastAsia" w:ascii="仿宋_GB2312" w:hAnsi="仿宋_GB2312" w:eastAsia="仿宋_GB2312" w:cs="仿宋_GB2312"/>
          <w:color w:val="auto"/>
          <w:spacing w:val="-2"/>
          <w:sz w:val="32"/>
          <w:szCs w:val="32"/>
        </w:rPr>
        <w:t>加快人工智能、大数据、5G、区块链等技术商业化应用，赋能现有产业化体系，积极开展工业互联网公共服务平台、数字车间、智能工厂建设，全面实施企业“登云”，推广工业机器人应用、数字化诊断，加速向数字化、网络化、智能化发展，确保到“十四五”末“两化”融合指数达到95%。</w:t>
      </w:r>
    </w:p>
    <w:p>
      <w:pPr>
        <w:keepNext w:val="0"/>
        <w:keepLines w:val="0"/>
        <w:pageBreakBefore w:val="0"/>
        <w:widowControl w:val="0"/>
        <w:kinsoku/>
        <w:wordWrap/>
        <w:overflowPunct/>
        <w:topLinePunct w:val="0"/>
        <w:bidi w:val="0"/>
        <w:adjustRightInd/>
        <w:snapToGrid/>
        <w:spacing w:line="560" w:lineRule="exact"/>
        <w:ind w:firstLine="635"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sz w:val="32"/>
          <w:szCs w:val="32"/>
        </w:rPr>
        <w:t>打造数字经济平台。</w:t>
      </w:r>
      <w:r>
        <w:rPr>
          <w:rFonts w:hint="eastAsia" w:ascii="仿宋_GB2312" w:hAnsi="仿宋_GB2312" w:eastAsia="仿宋_GB2312" w:cs="仿宋_GB2312"/>
          <w:color w:val="auto"/>
          <w:spacing w:val="-2"/>
          <w:sz w:val="32"/>
          <w:szCs w:val="32"/>
        </w:rPr>
        <w:t>高标准建设数字经济产业园、电子竞技产业园，建成碧橙数谷商务办公中心、聚尚仁合互联网数字化品牌生态中心、永畅直播基地等项目，大力招引杭州等地数字经济企业来绩发展。</w:t>
      </w:r>
      <w:r>
        <w:rPr>
          <w:rFonts w:hint="eastAsia" w:ascii="仿宋_GB2312" w:hAnsi="仿宋_GB2312" w:eastAsia="仿宋_GB2312" w:cs="仿宋_GB2312"/>
          <w:color w:val="auto"/>
          <w:spacing w:val="-2"/>
          <w:sz w:val="32"/>
          <w:szCs w:val="32"/>
          <w:lang w:val="en-US" w:eastAsia="zh-CN"/>
        </w:rPr>
        <w:t>依托</w:t>
      </w:r>
      <w:r>
        <w:rPr>
          <w:rFonts w:hint="eastAsia" w:ascii="仿宋_GB2312" w:hAnsi="仿宋_GB2312" w:eastAsia="仿宋_GB2312" w:cs="仿宋_GB2312"/>
          <w:color w:val="auto"/>
          <w:spacing w:val="-2"/>
          <w:sz w:val="32"/>
          <w:szCs w:val="32"/>
        </w:rPr>
        <w:t>徽味堂电商休闲食品产业基地</w:t>
      </w:r>
      <w:r>
        <w:rPr>
          <w:rFonts w:hint="eastAsia" w:ascii="仿宋_GB2312" w:hAnsi="仿宋_GB2312" w:eastAsia="仿宋_GB2312" w:cs="仿宋_GB2312"/>
          <w:color w:val="auto"/>
          <w:spacing w:val="-2"/>
          <w:sz w:val="32"/>
          <w:szCs w:val="32"/>
          <w:lang w:val="en-US" w:eastAsia="zh-CN"/>
        </w:rPr>
        <w:t>建设，打造绿色食品电商产业带。</w:t>
      </w:r>
      <w:r>
        <w:rPr>
          <w:rFonts w:hint="eastAsia" w:ascii="仿宋_GB2312" w:hAnsi="仿宋_GB2312" w:eastAsia="仿宋_GB2312" w:cs="仿宋_GB2312"/>
          <w:color w:val="auto"/>
          <w:spacing w:val="-2"/>
          <w:sz w:val="32"/>
          <w:szCs w:val="32"/>
        </w:rPr>
        <w:t>规范科技企业孵化中心、锦屏路电商创业街、农民工创业园管理，依托县电商产业集聚区及优势产业，孵化培育一批工业品电商、跨境电商、数字创意、文化传媒等企业。谋划大数据运营中心项目。</w:t>
      </w: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45"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专栏1</w:t>
            </w:r>
            <w:r>
              <w:rPr>
                <w:rFonts w:hint="eastAsia" w:ascii="仿宋_GB2312" w:hAnsi="仿宋_GB2312" w:eastAsia="仿宋_GB2312" w:cs="仿宋_GB2312"/>
                <w:b/>
                <w:color w:val="auto"/>
                <w:sz w:val="28"/>
                <w:szCs w:val="28"/>
                <w:lang w:val="en-US" w:eastAsia="zh-CN"/>
              </w:rPr>
              <w:t>1</w:t>
            </w:r>
            <w:r>
              <w:rPr>
                <w:rFonts w:hint="eastAsia" w:ascii="仿宋_GB2312" w:hAnsi="仿宋_GB2312" w:eastAsia="仿宋_GB2312" w:cs="仿宋_GB2312"/>
                <w:b/>
                <w:color w:val="auto"/>
                <w:sz w:val="28"/>
                <w:szCs w:val="28"/>
              </w:rPr>
              <w:t xml:space="preserve">  数字经济重点项目</w:t>
            </w:r>
          </w:p>
        </w:tc>
      </w:tr>
      <w:tr>
        <w:tblPrEx>
          <w:tblCellMar>
            <w:top w:w="0" w:type="dxa"/>
            <w:left w:w="108" w:type="dxa"/>
            <w:bottom w:w="0" w:type="dxa"/>
            <w:right w:w="108" w:type="dxa"/>
          </w:tblCellMar>
        </w:tblPrEx>
        <w:trPr>
          <w:trHeight w:val="1"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0"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5G通信基站建设项目、绩溪县数字经济（新基建）产业园及配套基础设施建设项目、电子竞技产业园项目、“数字绩溪”建设项目、工业互联网平台项目、皖东南智慧物流园、碧橙数谷项目、聚尚仁合云创平台项目、徽味堂休闲食品电商基地项目、电商产业总部经济园项目、电商和创客总部研发中心产业园项目、云计算与大数据应用中心建设项目等。</w:t>
            </w:r>
          </w:p>
        </w:tc>
      </w:tr>
    </w:tbl>
    <w:p>
      <w:pPr>
        <w:keepNext w:val="0"/>
        <w:keepLines w:val="0"/>
        <w:pageBreakBefore w:val="0"/>
        <w:widowControl w:val="0"/>
        <w:kinsoku/>
        <w:wordWrap/>
        <w:overflowPunct/>
        <w:topLinePunct w:val="0"/>
        <w:autoSpaceDE/>
        <w:autoSpaceDN/>
        <w:bidi w:val="0"/>
        <w:adjustRightInd/>
        <w:snapToGrid/>
        <w:spacing w:after="120" w:line="240" w:lineRule="exact"/>
        <w:ind w:firstLine="632" w:firstLineChars="200"/>
        <w:textAlignment w:val="auto"/>
        <w:outlineLvl w:val="1"/>
        <w:rPr>
          <w:rFonts w:ascii="仿宋_GB2312" w:hAnsi="仿宋_GB2312" w:eastAsia="仿宋_GB2312" w:cs="仿宋_GB2312"/>
          <w:color w:val="auto"/>
          <w:spacing w:val="-2"/>
          <w:sz w:val="32"/>
          <w:szCs w:val="32"/>
        </w:rPr>
      </w:pPr>
    </w:p>
    <w:p>
      <w:pPr>
        <w:pStyle w:val="30"/>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outlineLvl w:val="1"/>
        <w:rPr>
          <w:rFonts w:ascii="仿宋_GB2312" w:hAnsi="仿宋_GB2312" w:eastAsia="仿宋_GB2312" w:cs="仿宋_GB2312"/>
          <w:color w:val="auto"/>
          <w:sz w:val="32"/>
        </w:rPr>
      </w:pPr>
    </w:p>
    <w:p>
      <w:pPr>
        <w:pStyle w:val="4"/>
        <w:spacing w:before="0" w:after="0" w:line="240" w:lineRule="auto"/>
        <w:jc w:val="center"/>
        <w:outlineLvl w:val="1"/>
        <w:rPr>
          <w:rFonts w:ascii="仿宋_GB2312" w:hAnsi="楷体" w:eastAsia="仿宋_GB2312"/>
          <w:color w:val="auto"/>
          <w:szCs w:val="30"/>
        </w:rPr>
      </w:pPr>
      <w:bookmarkStart w:id="227" w:name="_Toc8721"/>
      <w:bookmarkStart w:id="228" w:name="_Toc3726_WPSOffice_Level2"/>
      <w:bookmarkStart w:id="229" w:name="_Toc29493"/>
      <w:bookmarkStart w:id="230" w:name="_Toc30873"/>
      <w:bookmarkStart w:id="231" w:name="_Toc59725710"/>
      <w:r>
        <w:rPr>
          <w:rFonts w:hint="eastAsia" w:ascii="仿宋_GB2312" w:hAnsi="楷体" w:eastAsia="仿宋_GB2312"/>
          <w:color w:val="auto"/>
          <w:szCs w:val="30"/>
        </w:rPr>
        <w:t>第五节  集聚发展现代服务业</w:t>
      </w:r>
      <w:bookmarkEnd w:id="227"/>
      <w:bookmarkEnd w:id="228"/>
      <w:bookmarkEnd w:id="229"/>
      <w:bookmarkEnd w:id="230"/>
      <w:bookmarkEnd w:id="231"/>
    </w:p>
    <w:p>
      <w:pPr>
        <w:pStyle w:val="30"/>
        <w:spacing w:line="240" w:lineRule="exact"/>
        <w:jc w:val="both"/>
        <w:outlineLvl w:val="1"/>
        <w:rPr>
          <w:rFonts w:ascii="仿宋_GB2312" w:hAnsi="仿宋_GB2312" w:eastAsia="仿宋_GB2312" w:cs="仿宋_GB2312"/>
          <w:color w:val="auto"/>
          <w:sz w:val="32"/>
        </w:rPr>
      </w:pPr>
    </w:p>
    <w:p>
      <w:pPr>
        <w:pStyle w:val="30"/>
        <w:keepNext w:val="0"/>
        <w:keepLines w:val="0"/>
        <w:pageBreakBefore w:val="0"/>
        <w:widowControl w:val="0"/>
        <w:kinsoku/>
        <w:wordWrap/>
        <w:overflowPunct/>
        <w:topLinePunct w:val="0"/>
        <w:bidi w:val="0"/>
        <w:snapToGrid/>
        <w:spacing w:line="560" w:lineRule="exact"/>
        <w:ind w:firstLine="635" w:firstLineChars="200"/>
        <w:jc w:val="both"/>
        <w:textAlignment w:val="auto"/>
        <w:outlineLvl w:val="1"/>
        <w:rPr>
          <w:rFonts w:ascii="仿宋_GB2312" w:hAnsi="仿宋_GB2312" w:eastAsia="仿宋_GB2312" w:cs="仿宋_GB2312"/>
          <w:color w:val="auto"/>
          <w:spacing w:val="-2"/>
          <w:kern w:val="2"/>
          <w:sz w:val="32"/>
          <w:szCs w:val="32"/>
        </w:rPr>
      </w:pPr>
      <w:r>
        <w:rPr>
          <w:rFonts w:hint="eastAsia" w:ascii="仿宋_GB2312" w:hAnsi="仿宋_GB2312" w:eastAsia="仿宋_GB2312" w:cs="仿宋_GB2312"/>
          <w:b/>
          <w:bCs/>
          <w:color w:val="auto"/>
          <w:spacing w:val="-2"/>
          <w:kern w:val="2"/>
          <w:sz w:val="32"/>
          <w:szCs w:val="32"/>
          <w:lang w:val="en-US" w:eastAsia="zh-CN"/>
        </w:rPr>
        <w:t>做强</w:t>
      </w:r>
      <w:r>
        <w:rPr>
          <w:rFonts w:hint="eastAsia" w:ascii="仿宋_GB2312" w:hAnsi="仿宋_GB2312" w:eastAsia="仿宋_GB2312" w:cs="仿宋_GB2312"/>
          <w:b/>
          <w:bCs/>
          <w:color w:val="auto"/>
          <w:spacing w:val="-2"/>
          <w:kern w:val="2"/>
          <w:sz w:val="32"/>
          <w:szCs w:val="32"/>
        </w:rPr>
        <w:t>现代物流业。</w:t>
      </w:r>
      <w:r>
        <w:rPr>
          <w:rFonts w:hint="eastAsia" w:ascii="仿宋_GB2312" w:hAnsi="仿宋_GB2312" w:eastAsia="仿宋_GB2312" w:cs="仿宋_GB2312"/>
          <w:color w:val="auto"/>
          <w:spacing w:val="-2"/>
          <w:kern w:val="2"/>
          <w:sz w:val="32"/>
          <w:szCs w:val="32"/>
        </w:rPr>
        <w:t>建设智慧物流园，全面应用云仓、自动分拣系统，构建高效畅通的县域物流体系。建设县级农产品冷链物流集散中心，优化升级乡镇农产品冷链仓储配送设施。整合快递资源，建设一批社区快递智能柜，优化一批偏远乡镇配送线路。积极创新物流配送模式，建立综合性、专业性物流公共信息平台，推动智能末端配送设施、无接触配送、智慧物流、冷链物流基础设施建设，倾力打造皖南地区重要物流节点。</w:t>
      </w:r>
    </w:p>
    <w:p>
      <w:pPr>
        <w:keepNext w:val="0"/>
        <w:keepLines w:val="0"/>
        <w:pageBreakBefore w:val="0"/>
        <w:widowControl w:val="0"/>
        <w:kinsoku/>
        <w:wordWrap/>
        <w:overflowPunct/>
        <w:topLinePunct w:val="0"/>
        <w:bidi w:val="0"/>
        <w:snapToGrid/>
        <w:spacing w:line="560" w:lineRule="exact"/>
        <w:ind w:firstLine="635"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sz w:val="32"/>
          <w:szCs w:val="32"/>
        </w:rPr>
        <w:t>提升</w:t>
      </w:r>
      <w:r>
        <w:rPr>
          <w:rFonts w:hint="eastAsia" w:ascii="仿宋_GB2312" w:hAnsi="仿宋_GB2312" w:eastAsia="仿宋_GB2312" w:cs="仿宋_GB2312"/>
          <w:b/>
          <w:bCs/>
          <w:color w:val="auto"/>
          <w:spacing w:val="-2"/>
          <w:sz w:val="32"/>
          <w:szCs w:val="32"/>
          <w:lang w:val="en-US" w:eastAsia="zh-CN"/>
        </w:rPr>
        <w:t>现代</w:t>
      </w:r>
      <w:r>
        <w:rPr>
          <w:rFonts w:hint="eastAsia" w:ascii="仿宋_GB2312" w:hAnsi="仿宋_GB2312" w:eastAsia="仿宋_GB2312" w:cs="仿宋_GB2312"/>
          <w:b/>
          <w:bCs/>
          <w:color w:val="auto"/>
          <w:spacing w:val="-2"/>
          <w:sz w:val="32"/>
          <w:szCs w:val="32"/>
        </w:rPr>
        <w:t>商贸业。</w:t>
      </w:r>
      <w:r>
        <w:rPr>
          <w:rFonts w:hint="eastAsia" w:ascii="仿宋_GB2312" w:hAnsi="仿宋_GB2312" w:eastAsia="仿宋_GB2312" w:cs="仿宋_GB2312"/>
          <w:color w:val="auto"/>
          <w:spacing w:val="-2"/>
          <w:sz w:val="32"/>
          <w:szCs w:val="32"/>
        </w:rPr>
        <w:t>引进以室内主题公园、国际影城、美容美体、教育培训、创意咖啡厅、创意书店等为代表的时尚体验业态。做好财富广场、时代广场、徽山大道城投城市综合体等开发运营。发展商圈经济，打造</w:t>
      </w:r>
      <w:r>
        <w:rPr>
          <w:rFonts w:hint="eastAsia" w:ascii="仿宋_GB2312" w:hAnsi="仿宋_GB2312" w:eastAsia="仿宋_GB2312" w:cs="仿宋_GB2312"/>
          <w:color w:val="auto"/>
          <w:spacing w:val="-2"/>
          <w:sz w:val="32"/>
          <w:szCs w:val="32"/>
          <w:lang w:val="en-US" w:eastAsia="zh-CN"/>
        </w:rPr>
        <w:t>“绩溪</w:t>
      </w:r>
      <w:r>
        <w:rPr>
          <w:rFonts w:hint="eastAsia" w:ascii="微软雅黑" w:hAnsi="微软雅黑" w:eastAsia="微软雅黑" w:cs="微软雅黑"/>
          <w:color w:val="auto"/>
          <w:spacing w:val="-2"/>
          <w:sz w:val="32"/>
          <w:szCs w:val="32"/>
          <w:lang w:val="en-US" w:eastAsia="zh-CN"/>
        </w:rPr>
        <w:t>·</w:t>
      </w:r>
      <w:r>
        <w:rPr>
          <w:rFonts w:hint="eastAsia" w:ascii="仿宋_GB2312" w:hAnsi="仿宋_GB2312" w:eastAsia="仿宋_GB2312" w:cs="仿宋_GB2312"/>
          <w:color w:val="auto"/>
          <w:spacing w:val="-2"/>
          <w:sz w:val="32"/>
          <w:szCs w:val="32"/>
          <w:lang w:val="en-US" w:eastAsia="zh-CN"/>
        </w:rPr>
        <w:t>糸巷”美食一条街、</w:t>
      </w:r>
      <w:r>
        <w:rPr>
          <w:rFonts w:hint="eastAsia" w:ascii="仿宋_GB2312" w:hAnsi="仿宋_GB2312" w:eastAsia="仿宋_GB2312" w:cs="仿宋_GB2312"/>
          <w:color w:val="auto"/>
          <w:spacing w:val="-2"/>
          <w:sz w:val="32"/>
          <w:szCs w:val="32"/>
        </w:rPr>
        <w:t>来苏北路餐饮、龙川大道建材、锦屏路电商、城南教育等一批专业特色街区。积极培育互动式体验式智慧商业模式，推动线上线下深度融合，满足顾客个性化需求。以丝绸、纺织、农产品、医护产品等重点，大力发展跨境电商，恢复县级公用型保税仓。引导城乡商超合理布局，鼓励社区便利店发展，推动“邻里中心”式社区商业运作模式，打造社区综合服务中心。</w:t>
      </w:r>
    </w:p>
    <w:p>
      <w:pPr>
        <w:pStyle w:val="2"/>
        <w:keepNext w:val="0"/>
        <w:keepLines w:val="0"/>
        <w:pageBreakBefore w:val="0"/>
        <w:widowControl w:val="0"/>
        <w:kinsoku/>
        <w:wordWrap/>
        <w:overflowPunct/>
        <w:topLinePunct w:val="0"/>
        <w:bidi w:val="0"/>
        <w:snapToGrid/>
        <w:spacing w:line="560" w:lineRule="exact"/>
        <w:ind w:firstLine="635"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kern w:val="2"/>
        </w:rPr>
        <w:t>培育金融服务业。</w:t>
      </w:r>
      <w:r>
        <w:rPr>
          <w:rFonts w:hint="eastAsia" w:ascii="仿宋_GB2312" w:hAnsi="仿宋_GB2312" w:eastAsia="仿宋_GB2312" w:cs="仿宋_GB2312"/>
          <w:color w:val="auto"/>
          <w:spacing w:val="-2"/>
          <w:kern w:val="2"/>
        </w:rPr>
        <w:t>加快引进和培育银行、保险、证券公司等各类金融机构，大力发展融资租赁公司、融资担保公司等。优化信贷投放结构，加大对县域实体经济支持力度。大力发展普惠金融，着力加强对中小微企业的金融扶持力度。创新信贷品种与服务模式，大力推广线上业务。拓展资金供给渠道，支持企业通过开展政银担、债转股、</w:t>
      </w:r>
      <w:r>
        <w:rPr>
          <w:rFonts w:hint="eastAsia" w:ascii="仿宋_GB2312" w:hAnsi="仿宋_GB2312" w:eastAsia="仿宋_GB2312" w:cs="仿宋_GB2312"/>
          <w:color w:val="auto"/>
          <w:spacing w:val="-2"/>
          <w:kern w:val="2"/>
          <w:lang w:eastAsia="zh-CN"/>
        </w:rPr>
        <w:t>“</w:t>
      </w:r>
      <w:r>
        <w:rPr>
          <w:rFonts w:hint="eastAsia" w:ascii="仿宋_GB2312" w:hAnsi="仿宋_GB2312" w:eastAsia="仿宋_GB2312" w:cs="仿宋_GB2312"/>
          <w:color w:val="auto"/>
          <w:spacing w:val="-2"/>
          <w:kern w:val="2"/>
        </w:rPr>
        <w:t>税融通</w:t>
      </w:r>
      <w:r>
        <w:rPr>
          <w:rFonts w:hint="eastAsia" w:ascii="仿宋_GB2312" w:hAnsi="仿宋_GB2312" w:eastAsia="仿宋_GB2312" w:cs="仿宋_GB2312"/>
          <w:color w:val="auto"/>
          <w:spacing w:val="-2"/>
          <w:kern w:val="2"/>
          <w:lang w:eastAsia="zh-CN"/>
        </w:rPr>
        <w:t>”</w:t>
      </w:r>
      <w:r>
        <w:rPr>
          <w:rFonts w:hint="eastAsia" w:ascii="仿宋_GB2312" w:hAnsi="仿宋_GB2312" w:eastAsia="仿宋_GB2312" w:cs="仿宋_GB2312"/>
          <w:color w:val="auto"/>
          <w:spacing w:val="-2"/>
          <w:kern w:val="2"/>
        </w:rPr>
        <w:t>、企业上市（挂牌）等业务多渠道融资。</w:t>
      </w:r>
    </w:p>
    <w:tbl>
      <w:tblPr>
        <w:tblStyle w:val="14"/>
        <w:tblW w:w="8560" w:type="dxa"/>
        <w:jc w:val="center"/>
        <w:tblLayout w:type="fixed"/>
        <w:tblCellMar>
          <w:top w:w="0" w:type="dxa"/>
          <w:left w:w="108" w:type="dxa"/>
          <w:bottom w:w="0" w:type="dxa"/>
          <w:right w:w="108" w:type="dxa"/>
        </w:tblCellMar>
      </w:tblPr>
      <w:tblGrid>
        <w:gridCol w:w="8560"/>
      </w:tblGrid>
      <w:tr>
        <w:tblPrEx>
          <w:tblCellMar>
            <w:top w:w="0" w:type="dxa"/>
            <w:left w:w="108" w:type="dxa"/>
            <w:bottom w:w="0" w:type="dxa"/>
            <w:right w:w="108" w:type="dxa"/>
          </w:tblCellMar>
        </w:tblPrEx>
        <w:trPr>
          <w:trHeight w:val="729" w:hRule="atLeast"/>
          <w:jc w:val="center"/>
        </w:trPr>
        <w:tc>
          <w:tcPr>
            <w:tcW w:w="8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ascii="宋体" w:hAnsi="Calibri" w:eastAsia="宋体" w:cs="宋体"/>
                <w:color w:val="auto"/>
                <w:kern w:val="0"/>
                <w:sz w:val="24"/>
                <w:lang w:val="zh-CN"/>
              </w:rPr>
            </w:pPr>
            <w:bookmarkStart w:id="232" w:name="_Toc23738"/>
            <w:bookmarkStart w:id="233" w:name="_Toc15812"/>
            <w:bookmarkStart w:id="234" w:name="_Toc26053"/>
            <w:r>
              <w:rPr>
                <w:rFonts w:hint="eastAsia" w:ascii="仿宋" w:hAnsi="仿宋" w:eastAsia="仿宋"/>
                <w:b/>
                <w:color w:val="auto"/>
                <w:sz w:val="28"/>
                <w:szCs w:val="28"/>
              </w:rPr>
              <w:t>专栏1</w:t>
            </w:r>
            <w:r>
              <w:rPr>
                <w:rFonts w:hint="eastAsia" w:ascii="仿宋" w:hAnsi="仿宋" w:eastAsia="仿宋"/>
                <w:b/>
                <w:color w:val="auto"/>
                <w:sz w:val="28"/>
                <w:szCs w:val="28"/>
                <w:lang w:val="en-US" w:eastAsia="zh-CN"/>
              </w:rPr>
              <w:t>2</w:t>
            </w:r>
            <w:r>
              <w:rPr>
                <w:rFonts w:hint="eastAsia" w:ascii="仿宋" w:hAnsi="仿宋" w:eastAsia="仿宋"/>
                <w:b/>
                <w:color w:val="auto"/>
                <w:sz w:val="28"/>
                <w:szCs w:val="28"/>
              </w:rPr>
              <w:t xml:space="preserve">  现代服务业重点项目</w:t>
            </w:r>
          </w:p>
        </w:tc>
      </w:tr>
      <w:tr>
        <w:tblPrEx>
          <w:tblCellMar>
            <w:top w:w="0" w:type="dxa"/>
            <w:left w:w="108" w:type="dxa"/>
            <w:bottom w:w="0" w:type="dxa"/>
            <w:right w:w="108" w:type="dxa"/>
          </w:tblCellMar>
        </w:tblPrEx>
        <w:trPr>
          <w:trHeight w:val="90" w:hRule="atLeast"/>
          <w:jc w:val="center"/>
        </w:trPr>
        <w:tc>
          <w:tcPr>
            <w:tcW w:w="8560"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0" w:firstLineChars="200"/>
              <w:textAlignment w:val="auto"/>
              <w:outlineLvl w:val="1"/>
              <w:rPr>
                <w:rFonts w:ascii="华文楷体" w:hAnsi="华文楷体" w:eastAsia="华文楷体" w:cs="Times New Roman"/>
                <w:color w:val="auto"/>
                <w:sz w:val="24"/>
                <w:szCs w:val="28"/>
              </w:rPr>
            </w:pPr>
            <w:r>
              <w:rPr>
                <w:rFonts w:hint="eastAsia" w:ascii="仿宋_GB2312" w:hAnsi="仿宋_GB2312" w:eastAsia="仿宋_GB2312" w:cs="仿宋_GB2312"/>
                <w:bCs/>
                <w:color w:val="auto"/>
                <w:sz w:val="28"/>
                <w:szCs w:val="28"/>
              </w:rPr>
              <w:t>绩溪徽州农旅大市场项目、华阳小微企业聚集区项目、中国徽菜（徽厨）博物馆与徽式糕点博物馆项目、</w:t>
            </w:r>
            <w:r>
              <w:rPr>
                <w:rFonts w:hint="eastAsia" w:ascii="仿宋_GB2312" w:hAnsi="仿宋_GB2312" w:eastAsia="仿宋_GB2312" w:cs="仿宋_GB2312"/>
                <w:bCs/>
                <w:color w:val="auto"/>
                <w:sz w:val="28"/>
                <w:szCs w:val="28"/>
                <w:lang w:eastAsia="zh-CN"/>
              </w:rPr>
              <w:t>龙川新天地商业综合体项目、</w:t>
            </w:r>
            <w:r>
              <w:rPr>
                <w:rFonts w:hint="eastAsia" w:ascii="仿宋_GB2312" w:hAnsi="仿宋_GB2312" w:eastAsia="仿宋_GB2312" w:cs="仿宋_GB2312"/>
                <w:bCs/>
                <w:color w:val="auto"/>
                <w:sz w:val="28"/>
                <w:szCs w:val="28"/>
              </w:rPr>
              <w:t>华阳农贸市场升级改造项目、冷链物流园项目、绩溪县公共配送中心项目、禾园公司粮食储备库搬迁项目、绩溪维也纳国际酒店项目、绩溪徽菜馆全国连锁推广项目等。</w:t>
            </w:r>
          </w:p>
        </w:tc>
      </w:tr>
    </w:tbl>
    <w:p>
      <w:pPr>
        <w:pStyle w:val="4"/>
        <w:keepNext/>
        <w:keepLines/>
        <w:pageBreakBefore w:val="0"/>
        <w:widowControl w:val="0"/>
        <w:kinsoku/>
        <w:wordWrap/>
        <w:overflowPunct/>
        <w:topLinePunct w:val="0"/>
        <w:autoSpaceDE/>
        <w:autoSpaceDN/>
        <w:bidi w:val="0"/>
        <w:adjustRightInd/>
        <w:snapToGrid/>
        <w:spacing w:before="0" w:after="160" w:afterLines="50" w:line="240" w:lineRule="auto"/>
        <w:jc w:val="center"/>
        <w:textAlignment w:val="auto"/>
        <w:outlineLvl w:val="1"/>
        <w:rPr>
          <w:rFonts w:ascii="仿宋_GB2312" w:hAnsi="楷体" w:eastAsia="仿宋_GB2312"/>
          <w:color w:val="auto"/>
          <w:szCs w:val="30"/>
        </w:rPr>
      </w:pPr>
      <w:bookmarkStart w:id="235" w:name="_Toc12687_WPSOffice_Level2"/>
      <w:r>
        <w:rPr>
          <w:rFonts w:hint="eastAsia" w:ascii="仿宋_GB2312" w:hAnsi="楷体" w:eastAsia="仿宋_GB2312"/>
          <w:color w:val="auto"/>
          <w:szCs w:val="30"/>
        </w:rPr>
        <w:t>第六节  全面推进经济开发区转型升级</w:t>
      </w:r>
      <w:bookmarkEnd w:id="232"/>
      <w:bookmarkEnd w:id="233"/>
      <w:bookmarkEnd w:id="234"/>
      <w:bookmarkEnd w:id="235"/>
    </w:p>
    <w:p>
      <w:pPr>
        <w:spacing w:line="240" w:lineRule="exact"/>
        <w:ind w:firstLine="659" w:firstLineChars="200"/>
        <w:jc w:val="center"/>
        <w:outlineLvl w:val="1"/>
        <w:rPr>
          <w:rFonts w:ascii="楷体_GB2312" w:hAnsi="Calibri" w:eastAsia="楷体_GB2312" w:cs="Times New Roman"/>
          <w:b/>
          <w:color w:val="auto"/>
          <w:spacing w:val="4"/>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color w:val="auto"/>
          <w:spacing w:val="-2"/>
          <w:sz w:val="32"/>
          <w:szCs w:val="32"/>
        </w:rPr>
      </w:pPr>
      <w:r>
        <w:rPr>
          <w:rFonts w:hint="eastAsia" w:ascii="仿宋_GB2312" w:hAnsi="仿宋" w:eastAsia="仿宋_GB2312" w:cs="仿宋"/>
          <w:color w:val="auto"/>
          <w:kern w:val="0"/>
          <w:sz w:val="32"/>
          <w:szCs w:val="32"/>
        </w:rPr>
        <w:t>完</w:t>
      </w:r>
      <w:r>
        <w:rPr>
          <w:rFonts w:hint="eastAsia" w:ascii="仿宋_GB2312" w:hAnsi="仿宋_GB2312" w:eastAsia="仿宋_GB2312" w:cs="仿宋_GB2312"/>
          <w:color w:val="auto"/>
          <w:spacing w:val="-2"/>
          <w:sz w:val="32"/>
          <w:szCs w:val="32"/>
        </w:rPr>
        <w:t>善产业发展布局，</w:t>
      </w:r>
      <w:r>
        <w:rPr>
          <w:rFonts w:hint="eastAsia" w:ascii="仿宋_GB2312" w:hAnsi="仿宋_GB2312" w:eastAsia="仿宋_GB2312" w:cs="仿宋_GB2312"/>
          <w:color w:val="auto"/>
          <w:spacing w:val="-2"/>
          <w:sz w:val="32"/>
          <w:szCs w:val="32"/>
          <w:lang w:val="en-US" w:eastAsia="zh-CN"/>
        </w:rPr>
        <w:t>依托省级高端机械零部件产业集群（基地）、绿色食品产业园省级农业科技园区、省级电子商务集聚示范区，</w:t>
      </w:r>
      <w:r>
        <w:rPr>
          <w:rFonts w:hint="eastAsia" w:ascii="仿宋_GB2312" w:hAnsi="仿宋_GB2312" w:eastAsia="仿宋_GB2312" w:cs="仿宋_GB2312"/>
          <w:color w:val="auto"/>
          <w:spacing w:val="-2"/>
          <w:sz w:val="32"/>
          <w:szCs w:val="32"/>
        </w:rPr>
        <w:t>加快形成一区三园（机械制造产业园、健康食品医药产业园、数字经济产业园）的空间发展格局。支持开发区立足自身的区位特点、资源禀赋、产业基础和环境容量等因素，按照省级开发区“一主两特”要求，通过规划引导、政策推动，引导开发区产业集聚发展、错位发展、特色发展，逐步形成绿色科技创业园、碧橙数谷、电商物流创业园、美丽健康产业园、数字经济创客中心、电竞产业园、物流仓储配送产业园、绩杭科创园等一批产业明确、功能齐全的特色</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园中园</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深化与上海松江、杭州知名园区合作，争取共建产业合作园区，承接机械制造、健康食品医药与数字经济等产业转移，着力打造“三个百亿”产业。支持企业走出去，通过专业分工、服务外包、订单生产等方式参与沪苏浙的产业链配套。加快智慧园区建设，整合智慧环保、安全生产等现有数字化平台，建成集产业招商服务、产业大数据可视化分析决策、智慧安全、环保监测等于一体的智慧管理信息平台。加大闲置用地清理盘活和低效企业嫁接重组力度，实施退二优二项目，拓展用地新空间。推进“标准地”“亩均论英雄”和“多评合一”。探索开展人事和薪酬制度改革，逐步实现经开区管理“去行政化”。努力争创全省开发区四十强。</w:t>
      </w: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35"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专栏1</w:t>
            </w:r>
            <w:r>
              <w:rPr>
                <w:rFonts w:hint="eastAsia" w:ascii="仿宋_GB2312" w:hAnsi="仿宋_GB2312" w:eastAsia="仿宋_GB2312" w:cs="仿宋_GB2312"/>
                <w:b/>
                <w:color w:val="auto"/>
                <w:sz w:val="28"/>
                <w:szCs w:val="28"/>
                <w:lang w:val="en-US" w:eastAsia="zh-CN"/>
              </w:rPr>
              <w:t>3</w:t>
            </w:r>
            <w:r>
              <w:rPr>
                <w:rFonts w:hint="eastAsia" w:ascii="仿宋_GB2312" w:hAnsi="仿宋_GB2312" w:eastAsia="仿宋_GB2312" w:cs="仿宋_GB2312"/>
                <w:b/>
                <w:color w:val="auto"/>
                <w:sz w:val="28"/>
                <w:szCs w:val="28"/>
              </w:rPr>
              <w:t xml:space="preserve"> 开发区重点项目</w:t>
            </w:r>
          </w:p>
        </w:tc>
      </w:tr>
      <w:tr>
        <w:tblPrEx>
          <w:tblCellMar>
            <w:top w:w="0" w:type="dxa"/>
            <w:left w:w="108" w:type="dxa"/>
            <w:bottom w:w="0" w:type="dxa"/>
            <w:right w:w="108" w:type="dxa"/>
          </w:tblCellMar>
        </w:tblPrEx>
        <w:trPr>
          <w:trHeight w:val="3961"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440" w:lineRule="exact"/>
              <w:ind w:firstLine="560"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绩溪县城区徽山大道周边区域道路管网建设项目、鄣山路至S207片区建设项目</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鄣山路西侧产业片区建设项目、绩溪县公共配送中心项目、绩溪县产业结构提升一体化建设项目、绩溪县数字经济（新基建）产业园及配套基础设施建设项目、西环线周边基础设施建设项目、</w:t>
            </w:r>
            <w:r>
              <w:rPr>
                <w:rFonts w:hint="eastAsia" w:ascii="仿宋_GB2312" w:hAnsi="仿宋_GB2312" w:eastAsia="仿宋_GB2312" w:cs="仿宋_GB2312"/>
                <w:bCs/>
                <w:color w:val="auto"/>
                <w:sz w:val="28"/>
                <w:szCs w:val="28"/>
                <w:lang w:val="en-US" w:eastAsia="zh-CN"/>
              </w:rPr>
              <w:t>纬二路健康产业园片区建设项目、</w:t>
            </w:r>
            <w:r>
              <w:rPr>
                <w:rFonts w:hint="eastAsia" w:ascii="仿宋_GB2312" w:hAnsi="仿宋_GB2312" w:eastAsia="仿宋_GB2312" w:cs="仿宋_GB2312"/>
                <w:bCs/>
                <w:color w:val="auto"/>
                <w:sz w:val="28"/>
                <w:szCs w:val="28"/>
              </w:rPr>
              <w:t>绿色科技创业园、绩杭科创园、食品类生产标准化厂房项目、智慧物流园项目、经开区标准化厂房建设工程、经开区基础设施提升改造项目、数字经济创客中心等。</w:t>
            </w:r>
          </w:p>
        </w:tc>
      </w:tr>
    </w:tbl>
    <w:p>
      <w:pPr>
        <w:pStyle w:val="2"/>
        <w:outlineLvl w:val="1"/>
        <w:rPr>
          <w:color w:val="auto"/>
        </w:rPr>
      </w:pPr>
    </w:p>
    <w:p>
      <w:pPr>
        <w:pStyle w:val="2"/>
        <w:keepNext w:val="0"/>
        <w:keepLines w:val="0"/>
        <w:pageBreakBefore w:val="0"/>
        <w:widowControl w:val="0"/>
        <w:kinsoku/>
        <w:wordWrap/>
        <w:overflowPunct/>
        <w:topLinePunct w:val="0"/>
        <w:autoSpaceDE w:val="0"/>
        <w:autoSpaceDN w:val="0"/>
        <w:bidi w:val="0"/>
        <w:adjustRightInd w:val="0"/>
        <w:snapToGrid/>
        <w:spacing w:line="240" w:lineRule="exact"/>
        <w:ind w:left="119"/>
        <w:textAlignment w:val="auto"/>
        <w:outlineLvl w:val="1"/>
        <w:rPr>
          <w:color w:val="auto"/>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6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236" w:name="_Toc9137_WPSOffice_Level1"/>
      <w:bookmarkStart w:id="237" w:name="_Toc28233"/>
      <w:bookmarkStart w:id="238" w:name="_Toc11505"/>
      <w:bookmarkStart w:id="239" w:name="_Toc25982"/>
      <w:r>
        <w:rPr>
          <w:rFonts w:hint="eastAsia" w:ascii="方正小标宋简体" w:hAnsi="方正小标宋简体" w:eastAsia="方正小标宋简体" w:cs="方正小标宋简体"/>
          <w:b w:val="0"/>
          <w:bCs w:val="0"/>
          <w:color w:val="auto"/>
          <w:sz w:val="36"/>
          <w:szCs w:val="36"/>
          <w:lang w:eastAsia="zh-CN"/>
        </w:rPr>
        <w:t>第三章  坚持创新引领 塑造发展新优势</w:t>
      </w:r>
      <w:bookmarkEnd w:id="236"/>
      <w:bookmarkEnd w:id="237"/>
      <w:bookmarkEnd w:id="238"/>
      <w:bookmarkEnd w:id="239"/>
    </w:p>
    <w:p>
      <w:pPr>
        <w:keepNext w:val="0"/>
        <w:keepLines w:val="0"/>
        <w:pageBreakBefore w:val="0"/>
        <w:widowControl w:val="0"/>
        <w:kinsoku/>
        <w:wordWrap/>
        <w:overflowPunct/>
        <w:topLinePunct w:val="0"/>
        <w:autoSpaceDE/>
        <w:autoSpaceDN/>
        <w:bidi w:val="0"/>
        <w:adjustRightInd/>
        <w:snapToGrid/>
        <w:spacing w:line="500" w:lineRule="exact"/>
        <w:ind w:firstLine="800" w:firstLineChars="250"/>
        <w:jc w:val="center"/>
        <w:textAlignment w:val="auto"/>
        <w:outlineLvl w:val="1"/>
        <w:rPr>
          <w:rFonts w:ascii="仿宋_GB2312" w:hAnsi="仿宋_GB2312" w:eastAsia="仿宋_GB2312" w:cs="仿宋_GB2312"/>
          <w:color w:val="auto"/>
          <w:sz w:val="32"/>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119" w:firstLine="632" w:firstLineChars="200"/>
        <w:jc w:val="both"/>
        <w:textAlignment w:val="auto"/>
        <w:outlineLvl w:val="1"/>
        <w:rPr>
          <w:rFonts w:ascii="仿宋_GB2312" w:hAnsi="仿宋_GB2312" w:eastAsia="仿宋_GB2312" w:cs="仿宋_GB2312"/>
          <w:color w:val="auto"/>
          <w:spacing w:val="-2"/>
          <w:kern w:val="2"/>
        </w:rPr>
      </w:pPr>
      <w:r>
        <w:rPr>
          <w:rFonts w:hint="eastAsia" w:ascii="仿宋_GB2312" w:hAnsi="仿宋_GB2312" w:eastAsia="仿宋_GB2312" w:cs="仿宋_GB2312"/>
          <w:color w:val="auto"/>
          <w:spacing w:val="-2"/>
          <w:kern w:val="2"/>
        </w:rPr>
        <w:t>紧紧抓住国家支持科技自立自强政策机遇，坚持创新在现代化建设全局中的核心地位，坚定不移下好创新先手棋，积极参与G60科创走廊、杭州城西科创大走廊建设，深化与省内外高校院所“产学研”合作，促进产业链与创新链精准对接，加快构建具有绩溪特色的区域创新体系。</w:t>
      </w:r>
    </w:p>
    <w:p>
      <w:pPr>
        <w:pStyle w:val="4"/>
        <w:keepNext/>
        <w:keepLines/>
        <w:pageBreakBefore w:val="0"/>
        <w:widowControl w:val="0"/>
        <w:kinsoku/>
        <w:wordWrap/>
        <w:overflowPunct/>
        <w:topLinePunct w:val="0"/>
        <w:autoSpaceDE/>
        <w:autoSpaceDN/>
        <w:bidi w:val="0"/>
        <w:adjustRightInd/>
        <w:snapToGrid/>
        <w:spacing w:before="160" w:beforeLines="50" w:after="160" w:afterLines="50" w:line="240" w:lineRule="auto"/>
        <w:jc w:val="center"/>
        <w:textAlignment w:val="auto"/>
        <w:outlineLvl w:val="1"/>
        <w:rPr>
          <w:rFonts w:ascii="仿宋_GB2312" w:hAnsi="楷体" w:eastAsia="仿宋_GB2312"/>
          <w:color w:val="auto"/>
          <w:szCs w:val="30"/>
        </w:rPr>
      </w:pPr>
      <w:bookmarkStart w:id="240" w:name="_Toc27431"/>
      <w:bookmarkStart w:id="241" w:name="_Toc9047"/>
      <w:bookmarkStart w:id="242" w:name="_Toc1039_WPSOffice_Level2"/>
      <w:bookmarkStart w:id="243" w:name="_Toc22803"/>
      <w:r>
        <w:rPr>
          <w:rFonts w:hint="eastAsia" w:ascii="仿宋_GB2312" w:hAnsi="楷体" w:eastAsia="仿宋_GB2312"/>
          <w:color w:val="auto"/>
          <w:szCs w:val="30"/>
        </w:rPr>
        <w:t>第一节  强化企业创新主体</w:t>
      </w:r>
      <w:bookmarkEnd w:id="240"/>
      <w:r>
        <w:rPr>
          <w:rFonts w:hint="eastAsia" w:ascii="仿宋_GB2312" w:hAnsi="楷体" w:eastAsia="仿宋_GB2312"/>
          <w:color w:val="auto"/>
          <w:szCs w:val="30"/>
        </w:rPr>
        <w:t>地位</w:t>
      </w:r>
      <w:bookmarkEnd w:id="241"/>
      <w:bookmarkEnd w:id="242"/>
      <w:bookmarkEnd w:id="2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推进重点工业企业、高新技术企业全面建立研发机构，支持小小科技、黄山恒久链公司等工程技术研究中心平台建设，开展关键核心技术研发和成果推广应用，形成辐射带动效应。鼓励富凯特材、立兴化工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徽煌化工</w:t>
      </w:r>
      <w:r>
        <w:rPr>
          <w:rFonts w:hint="eastAsia" w:ascii="仿宋_GB2312" w:hAnsi="仿宋_GB2312" w:eastAsia="仿宋_GB2312" w:cs="仿宋_GB2312"/>
          <w:color w:val="auto"/>
          <w:sz w:val="32"/>
          <w:szCs w:val="32"/>
        </w:rPr>
        <w:t>等规模较大、创新实力和发展潜力较强的骨干企业，牵头联合高等院校、科研院所组建</w:t>
      </w:r>
      <w:r>
        <w:rPr>
          <w:rFonts w:hint="eastAsia" w:ascii="仿宋_GB2312" w:hAnsi="仿宋_GB2312" w:eastAsia="仿宋_GB2312" w:cs="仿宋_GB2312"/>
          <w:color w:val="auto"/>
          <w:spacing w:val="-6"/>
          <w:sz w:val="32"/>
          <w:szCs w:val="32"/>
        </w:rPr>
        <w:t>创新联合体，争取承担国家重大科技项目、省市科技计划项目，参与实施长三角G60科创走廊重大科技专项，加快培育创新型领军企业。引导企业创建</w:t>
      </w:r>
      <w:r>
        <w:rPr>
          <w:rFonts w:hint="eastAsia" w:ascii="仿宋_GB2312" w:hAnsi="华文中宋" w:eastAsia="仿宋_GB2312"/>
          <w:color w:val="auto"/>
          <w:spacing w:val="-6"/>
          <w:sz w:val="32"/>
          <w:szCs w:val="32"/>
        </w:rPr>
        <w:t>省级工程(技术)研究中心、企业技术中心，</w:t>
      </w:r>
      <w:r>
        <w:rPr>
          <w:rFonts w:hint="eastAsia" w:ascii="仿宋_GB2312" w:eastAsia="仿宋_GB2312"/>
          <w:color w:val="auto"/>
          <w:spacing w:val="-6"/>
          <w:sz w:val="32"/>
          <w:szCs w:val="32"/>
        </w:rPr>
        <w:t>博士后科研工作站(博士后创新实践基地)、技能大师工作室等</w:t>
      </w:r>
      <w:r>
        <w:rPr>
          <w:rFonts w:hint="eastAsia" w:ascii="仿宋_GB2312" w:hAnsi="仿宋_GB2312" w:eastAsia="仿宋_GB2312" w:cs="仿宋_GB2312"/>
          <w:color w:val="auto"/>
          <w:spacing w:val="-6"/>
          <w:sz w:val="32"/>
          <w:szCs w:val="32"/>
        </w:rPr>
        <w:t xml:space="preserve">。实施科技型企业梯队培育工程，建立企业入库和动态调整机制，指导和推动全县科技企业进入省市高新技术培育企业库。 </w:t>
      </w:r>
    </w:p>
    <w:p>
      <w:pPr>
        <w:keepNext w:val="0"/>
        <w:keepLines w:val="0"/>
        <w:pageBreakBefore w:val="0"/>
        <w:widowControl w:val="0"/>
        <w:kinsoku/>
        <w:wordWrap/>
        <w:overflowPunct/>
        <w:topLinePunct w:val="0"/>
        <w:autoSpaceDE/>
        <w:autoSpaceDN/>
        <w:bidi w:val="0"/>
        <w:adjustRightInd/>
        <w:snapToGrid/>
        <w:spacing w:before="160" w:beforeLines="50" w:after="318" w:afterLines="100" w:line="640" w:lineRule="exact"/>
        <w:jc w:val="center"/>
        <w:textAlignment w:val="auto"/>
        <w:outlineLvl w:val="1"/>
        <w:rPr>
          <w:rFonts w:ascii="仿宋_GB2312" w:hAnsi="楷体" w:eastAsia="仿宋_GB2312" w:cstheme="majorBidi"/>
          <w:b/>
          <w:bCs/>
          <w:color w:val="auto"/>
          <w:sz w:val="32"/>
          <w:szCs w:val="30"/>
        </w:rPr>
      </w:pPr>
      <w:bookmarkStart w:id="244" w:name="_Toc32441_WPSOffice_Level2"/>
      <w:r>
        <w:rPr>
          <w:rFonts w:hint="eastAsia" w:ascii="仿宋_GB2312" w:hAnsi="楷体" w:eastAsia="仿宋_GB2312" w:cstheme="majorBidi"/>
          <w:b/>
          <w:bCs/>
          <w:color w:val="auto"/>
          <w:sz w:val="32"/>
          <w:szCs w:val="30"/>
          <w:lang w:eastAsia="zh-CN"/>
        </w:rPr>
        <w:t>第二节</w:t>
      </w:r>
      <w:r>
        <w:rPr>
          <w:rFonts w:hint="eastAsia" w:ascii="仿宋_GB2312" w:hAnsi="楷体" w:eastAsia="仿宋_GB2312" w:cstheme="majorBidi"/>
          <w:b/>
          <w:bCs/>
          <w:color w:val="auto"/>
          <w:sz w:val="32"/>
          <w:szCs w:val="30"/>
          <w:lang w:val="en-US" w:eastAsia="zh-CN"/>
        </w:rPr>
        <w:t xml:space="preserve">  </w:t>
      </w:r>
      <w:r>
        <w:rPr>
          <w:rFonts w:hint="eastAsia" w:ascii="仿宋_GB2312" w:hAnsi="楷体" w:eastAsia="仿宋_GB2312" w:cstheme="majorBidi"/>
          <w:b/>
          <w:bCs/>
          <w:color w:val="auto"/>
          <w:sz w:val="32"/>
          <w:szCs w:val="30"/>
        </w:rPr>
        <w:t>促进科技成果转化</w:t>
      </w:r>
      <w:bookmarkEnd w:id="24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完善“政产学研用金</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协同创新机制，加速创新资源要素流动。培养发展技术转移机构，千方百计引进长三角高校院所在绩设立科技服务中心，搭建企业技术攻关供需平台、知识产权申报、高企申报服务平台。探索在沪杭建设“科创飞地”“人才飞地”，推动在绩溪设立杭州城西科创大走廊联动发展区块，引导企业对接长三角最新科研动向和科技成果，完善创新投入和成果分享机制，构建“孵化在外、转化在绩”新模式。支持企业推进产学研深度融合，</w:t>
      </w:r>
      <w:r>
        <w:rPr>
          <w:rFonts w:hint="eastAsia" w:ascii="仿宋_GB2312" w:hAnsi="仿宋_GB2312" w:eastAsia="仿宋_GB2312" w:cs="仿宋_GB2312"/>
          <w:color w:val="auto"/>
          <w:sz w:val="32"/>
          <w:szCs w:val="32"/>
          <w:lang w:val="en-US" w:eastAsia="zh-CN"/>
        </w:rPr>
        <w:t>引导</w:t>
      </w:r>
      <w:r>
        <w:rPr>
          <w:rFonts w:hint="eastAsia" w:ascii="仿宋_GB2312" w:hAnsi="华文中宋" w:eastAsia="仿宋_GB2312"/>
          <w:bCs/>
          <w:color w:val="auto"/>
          <w:sz w:val="32"/>
          <w:szCs w:val="32"/>
        </w:rPr>
        <w:t>企业与高等院校、科研单位开展合作，力争引进国内知名大学、沪苏浙科研院所共建创业创新基地。鼓励立兴化工、黄山链条、祥博传热等企业主动加盟</w:t>
      </w:r>
      <w:r>
        <w:rPr>
          <w:rFonts w:hint="eastAsia" w:ascii="仿宋_GB2312" w:eastAsia="仿宋_GB2312"/>
          <w:color w:val="auto"/>
          <w:sz w:val="32"/>
          <w:szCs w:val="32"/>
          <w:lang w:val="zh-CN"/>
        </w:rPr>
        <w:t>G60科创走廊</w:t>
      </w:r>
      <w:r>
        <w:rPr>
          <w:rFonts w:hint="eastAsia" w:ascii="仿宋_GB2312" w:eastAsia="仿宋_GB2312"/>
          <w:color w:val="auto"/>
          <w:sz w:val="32"/>
          <w:szCs w:val="32"/>
        </w:rPr>
        <w:t>生物医药、新能源、新材料技术创新等相关产业联盟建设，依托产业联盟体系的全产业链布局联合开展协同创新。整合财政资金，创新使用方式，</w:t>
      </w:r>
      <w:r>
        <w:rPr>
          <w:rFonts w:hint="eastAsia" w:ascii="仿宋_GB2312" w:hAnsi="仿宋_GB2312" w:eastAsia="仿宋_GB2312" w:cs="仿宋_GB2312"/>
          <w:color w:val="auto"/>
          <w:sz w:val="32"/>
          <w:szCs w:val="32"/>
        </w:rPr>
        <w:t>支持企业申报</w:t>
      </w:r>
      <w:r>
        <w:rPr>
          <w:rFonts w:hint="eastAsia" w:ascii="仿宋_GB2312" w:eastAsia="仿宋_GB2312"/>
          <w:color w:val="auto"/>
          <w:sz w:val="32"/>
          <w:szCs w:val="32"/>
        </w:rPr>
        <w:t>省“三重一创”和制造业健康发展</w:t>
      </w:r>
      <w:r>
        <w:rPr>
          <w:rFonts w:hint="eastAsia" w:ascii="仿宋_GB2312" w:hAnsi="仿宋_GB2312" w:eastAsia="仿宋_GB2312" w:cs="仿宋_GB2312"/>
          <w:color w:val="auto"/>
          <w:sz w:val="32"/>
          <w:szCs w:val="32"/>
        </w:rPr>
        <w:t>、科技创新等资金补助，综合运用政银担、“税融通”、天使基金等金融服务，加大</w:t>
      </w:r>
      <w:r>
        <w:rPr>
          <w:rFonts w:hint="eastAsia" w:ascii="仿宋_GB2312" w:eastAsia="仿宋_GB2312"/>
          <w:color w:val="auto"/>
          <w:sz w:val="32"/>
          <w:szCs w:val="32"/>
        </w:rPr>
        <w:t>对科技成果转化的支持</w:t>
      </w:r>
      <w:r>
        <w:rPr>
          <w:rFonts w:hint="eastAsia" w:ascii="仿宋_GB2312" w:hAnsi="仿宋_GB2312" w:eastAsia="仿宋_GB2312" w:cs="仿宋_GB2312"/>
          <w:color w:val="auto"/>
          <w:sz w:val="32"/>
          <w:szCs w:val="32"/>
        </w:rPr>
        <w:t>力度。</w:t>
      </w:r>
    </w:p>
    <w:p>
      <w:pPr>
        <w:keepNext w:val="0"/>
        <w:keepLines w:val="0"/>
        <w:pageBreakBefore w:val="0"/>
        <w:widowControl w:val="0"/>
        <w:kinsoku/>
        <w:wordWrap/>
        <w:overflowPunct/>
        <w:topLinePunct w:val="0"/>
        <w:autoSpaceDE/>
        <w:autoSpaceDN/>
        <w:bidi w:val="0"/>
        <w:adjustRightInd/>
        <w:snapToGrid/>
        <w:spacing w:before="318" w:beforeLines="100" w:after="318" w:afterLines="100" w:line="640" w:lineRule="exact"/>
        <w:ind w:left="0" w:leftChars="0" w:firstLine="0" w:firstLineChars="0"/>
        <w:jc w:val="center"/>
        <w:textAlignment w:val="auto"/>
        <w:outlineLvl w:val="1"/>
        <w:rPr>
          <w:rFonts w:hint="eastAsia" w:ascii="仿宋_GB2312" w:hAnsi="楷体" w:eastAsia="仿宋_GB2312" w:cstheme="majorBidi"/>
          <w:b/>
          <w:bCs/>
          <w:color w:val="auto"/>
          <w:kern w:val="2"/>
          <w:sz w:val="32"/>
          <w:szCs w:val="30"/>
          <w:lang w:val="en-US" w:eastAsia="zh-CN" w:bidi="ar-SA"/>
        </w:rPr>
      </w:pPr>
      <w:bookmarkStart w:id="245" w:name="_Toc2601_WPSOffice_Level2"/>
      <w:r>
        <w:rPr>
          <w:rFonts w:hint="eastAsia" w:ascii="仿宋_GB2312" w:hAnsi="楷体" w:eastAsia="仿宋_GB2312" w:cstheme="majorBidi"/>
          <w:b/>
          <w:bCs/>
          <w:color w:val="auto"/>
          <w:kern w:val="2"/>
          <w:sz w:val="32"/>
          <w:szCs w:val="30"/>
          <w:lang w:val="en-US" w:eastAsia="zh-CN" w:bidi="ar-SA"/>
        </w:rPr>
        <w:t>第三节  加快集聚创新人才</w:t>
      </w:r>
      <w:bookmarkEnd w:id="24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入实施“绩溪聚才行动”，统筹推进各类人才队伍建设，全方位培养、引进、用好人才。实施“创业江淮”行动计划、大学生就业创业促进计划，利用学校、企业职业技能培训平台提供职业技能培训，联合长三角的高等院校培养一批企业家、专业技术人员、工匠等技能型人才。进一步完善人才引进激励机制，坚持刚性引进与柔性引进相结合，借助“长三角城市高层次科技人才交流平台”，以重大项目为载体，招引拥有自主科研成果并在绩溪进行产业化的国内领军人才及其创新团队。建设农民工（绩商）返乡创业园，支持优秀农民工（绩商）返乡就业创业。优化人才发展环境，完善人才服务保障体系，为各层次人才提供便捷服务。</w:t>
      </w:r>
    </w:p>
    <w:p>
      <w:pPr>
        <w:pStyle w:val="2"/>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6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246" w:name="_Toc2766"/>
      <w:bookmarkStart w:id="247" w:name="_Toc3255"/>
      <w:bookmarkStart w:id="248" w:name="_Toc5800_WPSOffice_Level1"/>
      <w:bookmarkStart w:id="249" w:name="_Toc9457"/>
      <w:r>
        <w:rPr>
          <w:rFonts w:hint="eastAsia" w:ascii="方正小标宋简体" w:hAnsi="方正小标宋简体" w:eastAsia="方正小标宋简体" w:cs="方正小标宋简体"/>
          <w:b w:val="0"/>
          <w:bCs w:val="0"/>
          <w:color w:val="auto"/>
          <w:sz w:val="36"/>
          <w:szCs w:val="36"/>
          <w:lang w:eastAsia="zh-CN"/>
        </w:rPr>
        <w:t>第四章</w:t>
      </w:r>
      <w:r>
        <w:rPr>
          <w:rFonts w:hint="eastAsia" w:ascii="方正小标宋简体" w:hAnsi="方正小标宋简体" w:eastAsia="方正小标宋简体" w:cs="方正小标宋简体"/>
          <w:b w:val="0"/>
          <w:bCs w:val="0"/>
          <w:color w:val="auto"/>
          <w:sz w:val="36"/>
          <w:szCs w:val="36"/>
          <w:lang w:val="en-US" w:eastAsia="zh-CN"/>
        </w:rPr>
        <w:t xml:space="preserve">  </w:t>
      </w:r>
      <w:r>
        <w:rPr>
          <w:rFonts w:hint="eastAsia" w:ascii="方正小标宋简体" w:hAnsi="方正小标宋简体" w:eastAsia="方正小标宋简体" w:cs="方正小标宋简体"/>
          <w:b w:val="0"/>
          <w:bCs w:val="0"/>
          <w:color w:val="auto"/>
          <w:sz w:val="36"/>
          <w:szCs w:val="36"/>
          <w:lang w:eastAsia="zh-CN"/>
        </w:rPr>
        <w:t>推深做实“五百工程” 全力</w:t>
      </w:r>
      <w:bookmarkEnd w:id="246"/>
      <w:bookmarkEnd w:id="247"/>
      <w:bookmarkEnd w:id="248"/>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6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250" w:name="_Toc1755_WPSOffice_Level2"/>
      <w:bookmarkStart w:id="251" w:name="_Toc4107_WPSOffice_Level2"/>
      <w:bookmarkStart w:id="252" w:name="_Toc16322_WPSOffice_Level2"/>
      <w:bookmarkStart w:id="253" w:name="_Toc29232_WPSOffice_Level2"/>
      <w:bookmarkStart w:id="254" w:name="_Toc10546"/>
      <w:bookmarkStart w:id="255" w:name="_Toc17991_WPSOffice_Level2"/>
      <w:bookmarkStart w:id="256" w:name="_Toc6799"/>
      <w:bookmarkStart w:id="257" w:name="_Toc25645_WPSOffice_Level2"/>
      <w:bookmarkStart w:id="258" w:name="_Toc17605_WPSOffice_Level2"/>
      <w:bookmarkStart w:id="259" w:name="_Toc17174_WPSOffice_Level2"/>
      <w:bookmarkStart w:id="260" w:name="_Toc27803_WPSOffice_Level2"/>
      <w:r>
        <w:rPr>
          <w:rFonts w:hint="eastAsia" w:ascii="方正小标宋简体" w:hAnsi="方正小标宋简体" w:eastAsia="方正小标宋简体" w:cs="方正小标宋简体"/>
          <w:b w:val="0"/>
          <w:bCs w:val="0"/>
          <w:color w:val="auto"/>
          <w:sz w:val="36"/>
          <w:szCs w:val="36"/>
          <w:lang w:eastAsia="zh-CN"/>
        </w:rPr>
        <w:t>促进乡村振兴</w:t>
      </w:r>
      <w:bookmarkEnd w:id="249"/>
      <w:bookmarkEnd w:id="250"/>
      <w:bookmarkEnd w:id="251"/>
      <w:bookmarkEnd w:id="252"/>
      <w:bookmarkEnd w:id="253"/>
      <w:bookmarkEnd w:id="254"/>
      <w:bookmarkEnd w:id="255"/>
      <w:bookmarkEnd w:id="256"/>
      <w:bookmarkEnd w:id="257"/>
      <w:bookmarkEnd w:id="258"/>
      <w:bookmarkEnd w:id="259"/>
      <w:bookmarkEnd w:id="260"/>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1"/>
        <w:rPr>
          <w:rFonts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Lines="50" w:afterLines="50" w:line="580" w:lineRule="exact"/>
        <w:ind w:firstLine="632"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以实施“五百工程”为抓手，全面实施乡村振兴战略，加快农业农村现代化建设，强化以工补农、以城带乡，推动形成工农互促、城乡互补、协调发展、共同繁荣的新型工农城乡关系，促进农业高质高效、乡村宜居宜业、农民富裕富足。</w:t>
      </w:r>
    </w:p>
    <w:p>
      <w:pPr>
        <w:pStyle w:val="4"/>
        <w:keepNext/>
        <w:keepLines/>
        <w:pageBreakBefore w:val="0"/>
        <w:widowControl w:val="0"/>
        <w:kinsoku/>
        <w:wordWrap/>
        <w:overflowPunct/>
        <w:topLinePunct w:val="0"/>
        <w:autoSpaceDE/>
        <w:autoSpaceDN/>
        <w:bidi w:val="0"/>
        <w:adjustRightInd/>
        <w:snapToGrid/>
        <w:spacing w:before="160" w:beforeLines="50" w:after="160" w:afterLines="50" w:line="240" w:lineRule="auto"/>
        <w:jc w:val="center"/>
        <w:textAlignment w:val="auto"/>
        <w:outlineLvl w:val="1"/>
        <w:rPr>
          <w:rFonts w:ascii="仿宋_GB2312" w:hAnsi="楷体" w:eastAsia="仿宋_GB2312"/>
          <w:color w:val="auto"/>
          <w:szCs w:val="30"/>
        </w:rPr>
      </w:pPr>
      <w:bookmarkStart w:id="261" w:name="_Toc30910"/>
      <w:bookmarkStart w:id="262" w:name="_Toc15086"/>
      <w:bookmarkStart w:id="263" w:name="_Toc30891_WPSOffice_Level2"/>
      <w:bookmarkStart w:id="264" w:name="_Toc21915"/>
      <w:r>
        <w:rPr>
          <w:rFonts w:hint="eastAsia" w:ascii="仿宋_GB2312" w:hAnsi="楷体" w:eastAsia="仿宋_GB2312"/>
          <w:color w:val="auto"/>
          <w:szCs w:val="30"/>
        </w:rPr>
        <w:t>第一节  发展优质高效特色农业</w:t>
      </w:r>
      <w:bookmarkEnd w:id="261"/>
      <w:bookmarkEnd w:id="262"/>
      <w:bookmarkEnd w:id="263"/>
      <w:bookmarkEnd w:id="264"/>
    </w:p>
    <w:p>
      <w:pPr>
        <w:keepNext w:val="0"/>
        <w:keepLines w:val="0"/>
        <w:pageBreakBefore w:val="0"/>
        <w:widowControl w:val="0"/>
        <w:kinsoku/>
        <w:wordWrap/>
        <w:overflowPunct/>
        <w:topLinePunct w:val="0"/>
        <w:autoSpaceDE/>
        <w:autoSpaceDN/>
        <w:bidi w:val="0"/>
        <w:adjustRightInd/>
        <w:snapToGrid/>
        <w:spacing w:line="540" w:lineRule="exact"/>
        <w:ind w:firstLine="635"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sz w:val="32"/>
          <w:szCs w:val="32"/>
        </w:rPr>
        <w:t>优化调整农业结构。</w:t>
      </w:r>
      <w:r>
        <w:rPr>
          <w:rFonts w:hint="eastAsia" w:ascii="仿宋_GB2312" w:hAnsi="仿宋_GB2312" w:eastAsia="仿宋_GB2312" w:cs="仿宋_GB2312"/>
          <w:color w:val="auto"/>
          <w:spacing w:val="-2"/>
          <w:sz w:val="32"/>
          <w:szCs w:val="32"/>
        </w:rPr>
        <w:t>实施百亿现代农业产业培育工程，不断拓展农业功能，构建农村一二三产业融合发展体系。深入实施藏粮于地、藏粮于技战略，严守耕地红线，全面落实永久基本农田特殊保护制度，高质量建设粮食生产功能区和重要农产品生产保护区。深入实施徽菜产业振兴计划，打响绩溪徽菜美食品牌。优化“南桃中竹北油”产业布局，推动山核桃、竹笋、茶油等产业规模发展和品质提升，打造长三角绿色农产品生产加工供应基地。加快建设健康食品医药产业园，支持龙头企业向园区集聚，创建现代农业产业园，打造农产品加工集群，建成一批现代生态农业产业化示范点和示范主体。实施农业经营主体培育计划，力争到2025年新增农业经营主体</w:t>
      </w:r>
      <w:r>
        <w:rPr>
          <w:rFonts w:hint="eastAsia" w:ascii="仿宋_GB2312" w:hAnsi="仿宋_GB2312" w:eastAsia="仿宋_GB2312" w:cs="仿宋_GB2312"/>
          <w:color w:val="auto"/>
          <w:spacing w:val="-2"/>
          <w:sz w:val="32"/>
          <w:szCs w:val="32"/>
          <w:lang w:val="en-US" w:eastAsia="zh-CN"/>
        </w:rPr>
        <w:t>200</w:t>
      </w:r>
      <w:r>
        <w:rPr>
          <w:rFonts w:hint="eastAsia" w:ascii="仿宋_GB2312" w:hAnsi="仿宋_GB2312" w:eastAsia="仿宋_GB2312" w:cs="仿宋_GB2312"/>
          <w:color w:val="auto"/>
          <w:spacing w:val="-2"/>
          <w:sz w:val="32"/>
          <w:szCs w:val="32"/>
        </w:rPr>
        <w:t>家。强化农业科技和装备支撑，健全动物防疫和农作物病虫害防治体系。</w:t>
      </w:r>
    </w:p>
    <w:p>
      <w:pPr>
        <w:keepNext w:val="0"/>
        <w:keepLines w:val="0"/>
        <w:pageBreakBefore w:val="0"/>
        <w:widowControl w:val="0"/>
        <w:kinsoku/>
        <w:wordWrap/>
        <w:overflowPunct/>
        <w:topLinePunct w:val="0"/>
        <w:autoSpaceDE/>
        <w:autoSpaceDN/>
        <w:bidi w:val="0"/>
        <w:adjustRightInd/>
        <w:snapToGrid/>
        <w:spacing w:line="540" w:lineRule="exact"/>
        <w:ind w:firstLine="635"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sz w:val="32"/>
          <w:szCs w:val="32"/>
        </w:rPr>
        <w:t>聚力打造农业品牌。</w:t>
      </w:r>
      <w:r>
        <w:rPr>
          <w:rFonts w:hint="eastAsia" w:ascii="仿宋_GB2312" w:hAnsi="仿宋_GB2312" w:eastAsia="仿宋_GB2312" w:cs="仿宋_GB2312"/>
          <w:color w:val="auto"/>
          <w:spacing w:val="-2"/>
          <w:sz w:val="32"/>
          <w:szCs w:val="32"/>
        </w:rPr>
        <w:t>以原产地、地理标志和区域品牌为依托，大力发展特色种养业，打造金山时雨、菊花、竹笋、香菇、</w:t>
      </w:r>
      <w:r>
        <w:rPr>
          <w:rFonts w:hint="eastAsia" w:ascii="仿宋_GB2312" w:hAnsi="仿宋_GB2312" w:eastAsia="仿宋_GB2312" w:cs="仿宋_GB2312"/>
          <w:color w:val="auto"/>
          <w:spacing w:val="-2"/>
          <w:sz w:val="32"/>
          <w:szCs w:val="32"/>
          <w:lang w:val="en-US" w:eastAsia="zh-CN"/>
        </w:rPr>
        <w:t>绩溪火腿</w:t>
      </w:r>
      <w:r>
        <w:rPr>
          <w:rFonts w:hint="eastAsia" w:ascii="仿宋_GB2312" w:hAnsi="仿宋_GB2312" w:eastAsia="仿宋_GB2312" w:cs="仿宋_GB2312"/>
          <w:color w:val="auto"/>
          <w:spacing w:val="-2"/>
          <w:sz w:val="32"/>
          <w:szCs w:val="32"/>
        </w:rPr>
        <w:t>、绩溪徽菜馆、绩溪山核桃、绩溪粉丝、绩溪黑猪、绩溪小黄牛等10个地方区域公共品牌。推进省级以上“一村一品”向“一镇</w:t>
      </w:r>
      <w:r>
        <w:rPr>
          <w:rFonts w:hint="eastAsia" w:ascii="仿宋_GB2312" w:hAnsi="仿宋_GB2312" w:eastAsia="仿宋_GB2312" w:cs="仿宋_GB2312"/>
          <w:color w:val="auto"/>
          <w:spacing w:val="-2"/>
          <w:sz w:val="32"/>
          <w:szCs w:val="32"/>
          <w:lang w:eastAsia="zh-CN"/>
        </w:rPr>
        <w:t>（乡）</w:t>
      </w:r>
      <w:r>
        <w:rPr>
          <w:rFonts w:hint="eastAsia" w:ascii="仿宋_GB2312" w:hAnsi="仿宋_GB2312" w:eastAsia="仿宋_GB2312" w:cs="仿宋_GB2312"/>
          <w:color w:val="auto"/>
          <w:spacing w:val="-2"/>
          <w:sz w:val="32"/>
          <w:szCs w:val="32"/>
        </w:rPr>
        <w:t>一业”发展。积极申报农产品原产地、“三品一标”认证和市级以上知名商标、名牌农产品。建成一批绿色食品原料标准化生产基地。加快建设农产品质量安全信用体系，巩固省级农产品质量安全县创建成果，打响绩溪农产品质量安全诚信品牌。</w:t>
      </w:r>
    </w:p>
    <w:p>
      <w:pPr>
        <w:keepNext w:val="0"/>
        <w:keepLines w:val="0"/>
        <w:pageBreakBefore w:val="0"/>
        <w:widowControl w:val="0"/>
        <w:kinsoku/>
        <w:wordWrap/>
        <w:overflowPunct/>
        <w:topLinePunct w:val="0"/>
        <w:autoSpaceDE/>
        <w:autoSpaceDN/>
        <w:bidi w:val="0"/>
        <w:adjustRightInd/>
        <w:snapToGrid/>
        <w:spacing w:line="540" w:lineRule="exact"/>
        <w:ind w:firstLine="635" w:firstLineChars="200"/>
        <w:textAlignment w:val="auto"/>
        <w:outlineLvl w:val="1"/>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sz w:val="32"/>
          <w:szCs w:val="32"/>
        </w:rPr>
        <w:t>发展</w:t>
      </w:r>
      <w:r>
        <w:rPr>
          <w:rFonts w:hint="eastAsia" w:ascii="仿宋_GB2312" w:hAnsi="仿宋_GB2312" w:eastAsia="仿宋_GB2312" w:cs="仿宋_GB2312"/>
          <w:b/>
          <w:bCs/>
          <w:color w:val="auto"/>
          <w:spacing w:val="-2"/>
          <w:sz w:val="32"/>
          <w:szCs w:val="32"/>
          <w:lang w:val="en-US" w:eastAsia="zh-CN"/>
        </w:rPr>
        <w:t>壮大</w:t>
      </w:r>
      <w:r>
        <w:rPr>
          <w:rFonts w:hint="eastAsia" w:ascii="仿宋_GB2312" w:hAnsi="仿宋_GB2312" w:eastAsia="仿宋_GB2312" w:cs="仿宋_GB2312"/>
          <w:b/>
          <w:bCs/>
          <w:color w:val="auto"/>
          <w:spacing w:val="-2"/>
          <w:sz w:val="32"/>
          <w:szCs w:val="32"/>
        </w:rPr>
        <w:t>农村电商。</w:t>
      </w:r>
      <w:r>
        <w:rPr>
          <w:rFonts w:hint="eastAsia" w:ascii="仿宋_GB2312" w:hAnsi="仿宋_GB2312" w:eastAsia="仿宋_GB2312" w:cs="仿宋_GB2312"/>
          <w:color w:val="auto"/>
          <w:spacing w:val="-2"/>
          <w:sz w:val="32"/>
          <w:szCs w:val="32"/>
        </w:rPr>
        <w:t>巩固提升电子商务进农村全覆盖成果，深化国家电子商务进农村综合示范县建设，推广“电商企业+基地+合作社+农户”模式，鼓励与知名电商平台开展深度合作，增强农村电商服务网点功能,完善农村电商物流体系建设，进一步拓宽农产品销售渠道。</w:t>
      </w: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1139"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专栏1</w:t>
            </w:r>
            <w:r>
              <w:rPr>
                <w:rFonts w:hint="eastAsia" w:ascii="仿宋_GB2312" w:hAnsi="仿宋_GB2312" w:eastAsia="仿宋_GB2312" w:cs="仿宋_GB2312"/>
                <w:b/>
                <w:color w:val="auto"/>
                <w:sz w:val="28"/>
                <w:szCs w:val="28"/>
                <w:lang w:val="en-US" w:eastAsia="zh-CN"/>
              </w:rPr>
              <w:t>4</w:t>
            </w:r>
            <w:r>
              <w:rPr>
                <w:rFonts w:hint="eastAsia" w:ascii="仿宋_GB2312" w:hAnsi="仿宋_GB2312" w:eastAsia="仿宋_GB2312" w:cs="仿宋_GB2312"/>
                <w:b/>
                <w:color w:val="auto"/>
                <w:sz w:val="28"/>
                <w:szCs w:val="28"/>
              </w:rPr>
              <w:t xml:space="preserve"> 乡村振兴“五百工程”提升行动</w:t>
            </w:r>
          </w:p>
        </w:tc>
      </w:tr>
      <w:tr>
        <w:tblPrEx>
          <w:tblCellMar>
            <w:top w:w="0" w:type="dxa"/>
            <w:left w:w="108" w:type="dxa"/>
            <w:bottom w:w="0" w:type="dxa"/>
            <w:right w:w="108" w:type="dxa"/>
          </w:tblCellMar>
        </w:tblPrEx>
        <w:trPr>
          <w:trHeight w:val="3202"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before="156" w:line="276" w:lineRule="auto"/>
              <w:ind w:firstLine="560" w:firstLineChars="200"/>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bCs/>
                <w:color w:val="auto"/>
                <w:sz w:val="28"/>
                <w:szCs w:val="28"/>
              </w:rPr>
              <w:t>“十四五”期间，做好乡村振兴与脱贫攻坚有效衔接，力争全县现代农业一二三产业产值达150亿元以上、创成100个景区村庄、100个村家风家训引领初显成效、100个村善治示范作用突显、100名能人带动作用增强，确保乡村振兴走在省市前列。</w:t>
            </w:r>
          </w:p>
        </w:tc>
      </w:tr>
    </w:tbl>
    <w:p>
      <w:pPr>
        <w:outlineLvl w:val="1"/>
        <w:rPr>
          <w:color w:val="auto"/>
        </w:rPr>
      </w:pPr>
    </w:p>
    <w:p>
      <w:pPr>
        <w:outlineLvl w:val="1"/>
        <w:rPr>
          <w:color w:val="auto"/>
        </w:rPr>
      </w:pPr>
    </w:p>
    <w:p>
      <w:pPr>
        <w:pStyle w:val="2"/>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1020"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专栏1</w:t>
            </w:r>
            <w:r>
              <w:rPr>
                <w:rFonts w:hint="eastAsia" w:ascii="仿宋_GB2312" w:hAnsi="仿宋_GB2312" w:eastAsia="仿宋_GB2312" w:cs="仿宋_GB2312"/>
                <w:b/>
                <w:color w:val="auto"/>
                <w:sz w:val="28"/>
                <w:szCs w:val="28"/>
                <w:lang w:val="en-US" w:eastAsia="zh-CN"/>
              </w:rPr>
              <w:t>5</w:t>
            </w:r>
            <w:r>
              <w:rPr>
                <w:rFonts w:hint="eastAsia" w:ascii="仿宋_GB2312" w:hAnsi="仿宋_GB2312" w:eastAsia="仿宋_GB2312" w:cs="仿宋_GB2312"/>
                <w:b/>
                <w:color w:val="auto"/>
                <w:sz w:val="28"/>
                <w:szCs w:val="28"/>
              </w:rPr>
              <w:t xml:space="preserve"> 现代农业重点项目</w:t>
            </w:r>
          </w:p>
        </w:tc>
      </w:tr>
      <w:tr>
        <w:tblPrEx>
          <w:tblCellMar>
            <w:top w:w="0" w:type="dxa"/>
            <w:left w:w="108" w:type="dxa"/>
            <w:bottom w:w="0" w:type="dxa"/>
            <w:right w:w="108" w:type="dxa"/>
          </w:tblCellMar>
        </w:tblPrEx>
        <w:trPr>
          <w:trHeight w:val="1"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绿色食品产业园项目。</w:t>
            </w:r>
            <w:r>
              <w:rPr>
                <w:rFonts w:hint="eastAsia" w:ascii="仿宋_GB2312" w:hAnsi="仿宋_GB2312" w:eastAsia="仿宋_GB2312" w:cs="仿宋_GB2312"/>
                <w:bCs/>
                <w:color w:val="auto"/>
                <w:sz w:val="28"/>
                <w:szCs w:val="28"/>
              </w:rPr>
              <w:t>扩建集农产品食品研发、生产、加工、展示、电商、物流于一体的绿色农产品加工产业园，占地面积2.47平方公里。</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休闲农业公园项目。</w:t>
            </w:r>
            <w:r>
              <w:rPr>
                <w:rFonts w:hint="eastAsia" w:ascii="仿宋_GB2312" w:hAnsi="仿宋_GB2312" w:eastAsia="仿宋_GB2312" w:cs="仿宋_GB2312"/>
                <w:bCs/>
                <w:color w:val="auto"/>
                <w:sz w:val="28"/>
                <w:szCs w:val="28"/>
              </w:rPr>
              <w:t>打造四条休闲农业与乡村旅游精品线路，建设休闲农业旅游示范点30个。</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徽菜馆全国连锁推广项目。</w:t>
            </w:r>
            <w:r>
              <w:rPr>
                <w:rFonts w:hint="eastAsia" w:ascii="仿宋_GB2312" w:hAnsi="仿宋_GB2312" w:eastAsia="仿宋_GB2312" w:cs="仿宋_GB2312"/>
                <w:bCs/>
                <w:color w:val="auto"/>
                <w:sz w:val="28"/>
                <w:szCs w:val="28"/>
              </w:rPr>
              <w:t>推进徽菜餐饮、徽菜食材加工、徽菜原料种养殖、徽菜名厨产业链式开发，打造绩溪徽菜馆区域公共品牌，在全国推广建立千家连锁店。</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山核桃产业园项目。</w:t>
            </w:r>
            <w:r>
              <w:rPr>
                <w:rFonts w:hint="eastAsia" w:ascii="仿宋_GB2312" w:hAnsi="仿宋_GB2312" w:eastAsia="仿宋_GB2312" w:cs="仿宋_GB2312"/>
                <w:color w:val="auto"/>
                <w:sz w:val="28"/>
                <w:szCs w:val="28"/>
              </w:rPr>
              <w:t>依托山核桃加工企业，引进标准化先进山核桃加工生产线，配套建设标准化优质山核桃示范基地。</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金山时雨茶产业振兴项目。</w:t>
            </w:r>
            <w:r>
              <w:rPr>
                <w:rFonts w:hint="eastAsia" w:ascii="仿宋_GB2312" w:hAnsi="仿宋_GB2312" w:eastAsia="仿宋_GB2312" w:cs="仿宋_GB2312"/>
                <w:color w:val="auto"/>
                <w:sz w:val="28"/>
                <w:szCs w:val="28"/>
              </w:rPr>
              <w:t>建设国家级、省级茶叶生产标准园，提升茶叶标准化生产加工规模，加大品牌宣传推广力度，建设金山时雨茶文化园。</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燕笋深加工项目。</w:t>
            </w:r>
            <w:r>
              <w:rPr>
                <w:rFonts w:hint="eastAsia" w:ascii="仿宋_GB2312" w:hAnsi="仿宋_GB2312" w:eastAsia="仿宋_GB2312" w:cs="仿宋_GB2312"/>
                <w:color w:val="auto"/>
                <w:sz w:val="28"/>
                <w:szCs w:val="28"/>
              </w:rPr>
              <w:t>在绿色食品产业园新建燕笋收购加工及配送中心，生产燕笋系列产品。</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油茶标准化深加工项目。</w:t>
            </w:r>
            <w:r>
              <w:rPr>
                <w:rFonts w:hint="eastAsia" w:ascii="仿宋_GB2312" w:hAnsi="仿宋_GB2312" w:eastAsia="仿宋_GB2312" w:cs="仿宋_GB2312"/>
                <w:color w:val="auto"/>
                <w:sz w:val="28"/>
                <w:szCs w:val="28"/>
              </w:rPr>
              <w:t>建立油茶籽清洁加工、油茶籽高蛋白饲料、茶皂素及多糖生产线，配套生产生活相关设备，提高油茶标准化深加工水平。</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菊花产业化示范基地。</w:t>
            </w:r>
            <w:r>
              <w:rPr>
                <w:rFonts w:hint="eastAsia" w:ascii="仿宋_GB2312" w:hAnsi="仿宋_GB2312" w:eastAsia="仿宋_GB2312" w:cs="仿宋_GB2312"/>
                <w:color w:val="auto"/>
                <w:sz w:val="28"/>
                <w:szCs w:val="28"/>
              </w:rPr>
              <w:t>引进标准化加工生产线，建设岭北菊花产业化示范基地，配套建设休闲采摘旅游观光示范点。</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黑猪保种扩繁及生产商品猪项目。</w:t>
            </w:r>
            <w:r>
              <w:rPr>
                <w:rFonts w:hint="eastAsia" w:ascii="仿宋_GB2312" w:hAnsi="仿宋_GB2312" w:eastAsia="仿宋_GB2312" w:cs="仿宋_GB2312"/>
                <w:color w:val="auto"/>
                <w:sz w:val="28"/>
                <w:szCs w:val="28"/>
              </w:rPr>
              <w:t>建设黑猪保种场、扩繁场、黑猪养殖基地、黑猪屠宰分割车间、黑猪熟食加工厂等。</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小黄牛保种及产业化开发利用项目。</w:t>
            </w:r>
            <w:r>
              <w:rPr>
                <w:rFonts w:hint="eastAsia" w:ascii="仿宋_GB2312" w:hAnsi="仿宋_GB2312" w:eastAsia="仿宋_GB2312" w:cs="仿宋_GB2312"/>
                <w:color w:val="auto"/>
                <w:sz w:val="28"/>
                <w:szCs w:val="28"/>
              </w:rPr>
              <w:t>建立绩溪小黄牛原生态保护区和核心保种场，建设绩溪小黄牛养殖基地、商品牛标准化养殖小区、以及小黄牛屠宰加工厂等。</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徽菜种植基地建设项目。</w:t>
            </w:r>
            <w:r>
              <w:rPr>
                <w:rFonts w:hint="eastAsia" w:ascii="仿宋_GB2312" w:hAnsi="仿宋_GB2312" w:eastAsia="仿宋_GB2312" w:cs="仿宋_GB2312"/>
                <w:color w:val="auto"/>
                <w:sz w:val="28"/>
                <w:szCs w:val="28"/>
              </w:rPr>
              <w:t>选址</w:t>
            </w:r>
            <w:r>
              <w:rPr>
                <w:rFonts w:hint="eastAsia" w:ascii="仿宋_GB2312" w:hAnsi="仿宋_GB2312" w:eastAsia="仿宋_GB2312" w:cs="仿宋_GB2312"/>
                <w:color w:val="auto"/>
                <w:sz w:val="28"/>
                <w:szCs w:val="28"/>
                <w:lang w:eastAsia="zh-CN"/>
              </w:rPr>
              <w:t>伏岭、</w:t>
            </w:r>
            <w:r>
              <w:rPr>
                <w:rFonts w:hint="eastAsia" w:ascii="仿宋_GB2312" w:hAnsi="仿宋_GB2312" w:eastAsia="仿宋_GB2312" w:cs="仿宋_GB2312"/>
                <w:color w:val="auto"/>
                <w:sz w:val="28"/>
                <w:szCs w:val="28"/>
              </w:rPr>
              <w:t>北村、</w:t>
            </w:r>
            <w:r>
              <w:rPr>
                <w:rFonts w:hint="eastAsia" w:ascii="仿宋_GB2312" w:hAnsi="仿宋_GB2312" w:eastAsia="仿宋_GB2312" w:cs="仿宋_GB2312"/>
                <w:color w:val="auto"/>
                <w:sz w:val="28"/>
                <w:szCs w:val="28"/>
                <w:lang w:eastAsia="zh-CN"/>
              </w:rPr>
              <w:t>西川</w:t>
            </w:r>
            <w:r>
              <w:rPr>
                <w:rFonts w:hint="eastAsia" w:ascii="仿宋_GB2312" w:hAnsi="仿宋_GB2312" w:eastAsia="仿宋_GB2312" w:cs="仿宋_GB2312"/>
                <w:color w:val="auto"/>
                <w:sz w:val="28"/>
                <w:szCs w:val="28"/>
              </w:rPr>
              <w:t>等村，</w:t>
            </w:r>
            <w:r>
              <w:rPr>
                <w:rFonts w:hint="eastAsia" w:ascii="仿宋_GB2312" w:hAnsi="仿宋_GB2312" w:eastAsia="仿宋_GB2312" w:cs="仿宋_GB2312"/>
                <w:color w:val="auto"/>
                <w:sz w:val="28"/>
                <w:szCs w:val="28"/>
                <w:lang w:eastAsia="zh-CN"/>
              </w:rPr>
              <w:t>建设</w:t>
            </w:r>
            <w:r>
              <w:rPr>
                <w:rFonts w:hint="eastAsia" w:ascii="仿宋_GB2312" w:hAnsi="仿宋_GB2312" w:eastAsia="仿宋_GB2312" w:cs="仿宋_GB2312"/>
                <w:color w:val="auto"/>
                <w:sz w:val="28"/>
                <w:szCs w:val="28"/>
              </w:rPr>
              <w:t>徽菜种植基地1000亩，用于香菇、茄子和绿色蔬菜等徽菜原材料种植。</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徽菜原材料交易中心。</w:t>
            </w:r>
            <w:r>
              <w:rPr>
                <w:rFonts w:hint="eastAsia" w:ascii="仿宋_GB2312" w:hAnsi="仿宋_GB2312" w:eastAsia="仿宋_GB2312" w:cs="仿宋_GB2312"/>
                <w:color w:val="auto"/>
                <w:sz w:val="28"/>
                <w:szCs w:val="28"/>
              </w:rPr>
              <w:t>在伏岭镇伏岭村规划建设建筑面积16700平方米的农产品批发市场、冷链中心、农副产品加工点和配送中心等，带动伏岭、家朋、荆州农产品加工与销售。</w:t>
            </w:r>
          </w:p>
        </w:tc>
      </w:tr>
    </w:tbl>
    <w:p>
      <w:pPr>
        <w:spacing w:line="360" w:lineRule="auto"/>
        <w:outlineLvl w:val="1"/>
        <w:rPr>
          <w:rFonts w:ascii="仿宋_GB2312" w:hAnsi="仿宋_GB2312" w:eastAsia="仿宋_GB2312" w:cs="仿宋_GB2312"/>
          <w:color w:val="auto"/>
          <w:sz w:val="32"/>
          <w:szCs w:val="32"/>
        </w:rPr>
      </w:pPr>
    </w:p>
    <w:p>
      <w:pPr>
        <w:pStyle w:val="4"/>
        <w:keepNext/>
        <w:keepLines/>
        <w:pageBreakBefore w:val="0"/>
        <w:widowControl w:val="0"/>
        <w:kinsoku/>
        <w:wordWrap/>
        <w:overflowPunct/>
        <w:topLinePunct w:val="0"/>
        <w:autoSpaceDE/>
        <w:autoSpaceDN/>
        <w:bidi w:val="0"/>
        <w:adjustRightInd/>
        <w:snapToGrid/>
        <w:spacing w:before="0" w:after="160" w:afterLines="50" w:line="240" w:lineRule="auto"/>
        <w:jc w:val="center"/>
        <w:textAlignment w:val="auto"/>
        <w:outlineLvl w:val="1"/>
        <w:rPr>
          <w:rFonts w:ascii="仿宋_GB2312" w:hAnsi="楷体" w:eastAsia="仿宋_GB2312"/>
          <w:color w:val="auto"/>
          <w:szCs w:val="30"/>
        </w:rPr>
      </w:pPr>
      <w:bookmarkStart w:id="265" w:name="_Toc26576"/>
      <w:bookmarkStart w:id="266" w:name="_Toc24523"/>
      <w:bookmarkStart w:id="267" w:name="_Toc28558"/>
      <w:bookmarkStart w:id="268" w:name="_Toc23685_WPSOffice_Level2"/>
      <w:r>
        <w:rPr>
          <w:rFonts w:hint="eastAsia" w:ascii="仿宋_GB2312" w:hAnsi="楷体" w:eastAsia="仿宋_GB2312"/>
          <w:color w:val="auto"/>
          <w:szCs w:val="30"/>
        </w:rPr>
        <w:t>第二节  实施新时代乡村建设行动</w:t>
      </w:r>
      <w:bookmarkEnd w:id="265"/>
      <w:bookmarkEnd w:id="266"/>
      <w:bookmarkEnd w:id="267"/>
      <w:bookmarkEnd w:id="268"/>
    </w:p>
    <w:p>
      <w:pPr>
        <w:spacing w:line="240" w:lineRule="exact"/>
        <w:outlineLvl w:val="1"/>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提升</w:t>
      </w:r>
      <w:r>
        <w:rPr>
          <w:rFonts w:hint="eastAsia" w:ascii="仿宋_GB2312" w:hAnsi="仿宋_GB2312" w:eastAsia="仿宋_GB2312" w:cs="仿宋_GB2312"/>
          <w:b/>
          <w:bCs/>
          <w:color w:val="auto"/>
          <w:sz w:val="32"/>
          <w:szCs w:val="32"/>
        </w:rPr>
        <w:t>乡镇政府驻地集镇功能。</w:t>
      </w:r>
      <w:r>
        <w:rPr>
          <w:rFonts w:hint="eastAsia" w:ascii="仿宋_GB2312" w:hAnsi="仿宋_GB2312" w:eastAsia="仿宋_GB2312" w:cs="仿宋_GB2312"/>
          <w:color w:val="auto"/>
          <w:sz w:val="32"/>
          <w:szCs w:val="32"/>
        </w:rPr>
        <w:t>加强乡镇集镇区基础设施及配套建设，科学完善村庄规划，引导人口向中心集镇有序转移，提升乡镇为民服务中心功能，把乡镇政府驻地打造成为服务</w:t>
      </w:r>
      <w:r>
        <w:rPr>
          <w:rFonts w:hint="eastAsia" w:ascii="仿宋_GB2312" w:hAnsi="仿宋_GB2312" w:eastAsia="仿宋_GB2312" w:cs="仿宋_GB2312"/>
          <w:color w:val="auto"/>
          <w:sz w:val="32"/>
          <w:szCs w:val="32"/>
          <w:lang w:val="en-US" w:eastAsia="zh-CN"/>
        </w:rPr>
        <w:t>农民</w:t>
      </w:r>
      <w:r>
        <w:rPr>
          <w:rFonts w:hint="eastAsia" w:ascii="仿宋_GB2312" w:hAnsi="仿宋_GB2312" w:eastAsia="仿宋_GB2312" w:cs="仿宋_GB2312"/>
          <w:color w:val="auto"/>
          <w:sz w:val="32"/>
          <w:szCs w:val="32"/>
        </w:rPr>
        <w:t>的区域中心。</w:t>
      </w:r>
    </w:p>
    <w:p>
      <w:pPr>
        <w:keepNext w:val="0"/>
        <w:keepLines w:val="0"/>
        <w:pageBreakBefore w:val="0"/>
        <w:widowControl w:val="0"/>
        <w:kinsoku/>
        <w:wordWrap/>
        <w:overflowPunct/>
        <w:topLinePunct w:val="0"/>
        <w:autoSpaceDE/>
        <w:autoSpaceDN/>
        <w:bidi w:val="0"/>
        <w:adjustRightInd/>
        <w:snapToGrid w:val="0"/>
        <w:spacing w:line="580" w:lineRule="exact"/>
        <w:ind w:firstLine="635"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sz w:val="32"/>
          <w:szCs w:val="32"/>
        </w:rPr>
        <w:t>持续开展景区村庄建设。</w:t>
      </w:r>
      <w:r>
        <w:rPr>
          <w:rFonts w:hint="eastAsia" w:ascii="仿宋_GB2312" w:hAnsi="仿宋_GB2312" w:eastAsia="仿宋_GB2312" w:cs="仿宋_GB2312"/>
          <w:color w:val="auto"/>
          <w:spacing w:val="-2"/>
          <w:sz w:val="32"/>
          <w:szCs w:val="32"/>
        </w:rPr>
        <w:t>以实施百个景区村庄创建为抓手，全面推进村庄规划，</w:t>
      </w:r>
      <w:r>
        <w:rPr>
          <w:rFonts w:hint="eastAsia" w:ascii="仿宋_GB2312" w:hAnsi="仿宋_GB2312" w:eastAsia="仿宋_GB2312" w:cs="仿宋_GB2312"/>
          <w:color w:val="auto"/>
          <w:sz w:val="32"/>
          <w:szCs w:val="32"/>
        </w:rPr>
        <w:t>按照满足群众美好生活和旅游功能需要，有序推进基础较好的中心村、自然村建设，培育一批宜居宜游的文化旅游名村。</w:t>
      </w:r>
      <w:r>
        <w:rPr>
          <w:rFonts w:hint="eastAsia" w:ascii="仿宋_GB2312" w:hAnsi="仿宋_GB2312" w:eastAsia="仿宋_GB2312" w:cs="仿宋_GB2312"/>
          <w:color w:val="auto"/>
          <w:spacing w:val="-2"/>
          <w:sz w:val="32"/>
          <w:szCs w:val="32"/>
        </w:rPr>
        <w:t>分层分类建设美丽乡村，实现村庄布点规划保留的66个中心村建设全覆盖。强化农村新建房屋规划管控，加强对传统村落、古树名木、古迹和历史文化名镇名村的保护与利用。实施乡村绿化美化工程，深入推进森林城镇、森林村庄创建。在具备条件的村镇打造特色鲜明的农业公园。</w:t>
      </w:r>
    </w:p>
    <w:p>
      <w:pPr>
        <w:keepNext w:val="0"/>
        <w:keepLines w:val="0"/>
        <w:pageBreakBefore w:val="0"/>
        <w:widowControl w:val="0"/>
        <w:kinsoku/>
        <w:wordWrap/>
        <w:overflowPunct/>
        <w:topLinePunct w:val="0"/>
        <w:autoSpaceDE/>
        <w:autoSpaceDN/>
        <w:bidi w:val="0"/>
        <w:adjustRightInd/>
        <w:snapToGrid w:val="0"/>
        <w:spacing w:line="580" w:lineRule="exact"/>
        <w:ind w:firstLine="635"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sz w:val="32"/>
          <w:szCs w:val="32"/>
        </w:rPr>
        <w:t>提标建设农村基础设施。</w:t>
      </w:r>
      <w:r>
        <w:rPr>
          <w:rFonts w:hint="eastAsia" w:ascii="仿宋_GB2312" w:hAnsi="仿宋_GB2312" w:eastAsia="仿宋_GB2312" w:cs="仿宋_GB2312"/>
          <w:color w:val="auto"/>
          <w:spacing w:val="-2"/>
          <w:sz w:val="32"/>
          <w:szCs w:val="32"/>
        </w:rPr>
        <w:t>扎实推进“四好农村路”建设</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实施农村公路提质改造工程</w:t>
      </w:r>
      <w:r>
        <w:rPr>
          <w:rFonts w:hint="eastAsia" w:ascii="仿宋_GB2312" w:hAnsi="仿宋_GB2312" w:eastAsia="仿宋_GB2312" w:cs="仿宋_GB2312"/>
          <w:color w:val="auto"/>
          <w:spacing w:val="-2"/>
          <w:sz w:val="32"/>
          <w:szCs w:val="32"/>
        </w:rPr>
        <w:t>。实施农田水利“最后一公里”和高标准农田建设，实施高效节水灌溉工程。继续实施农村安全饮水巩固提升工程，做好农村集中式饮用水源地划定和保护工作。加强农业科技、农产品仓储物流和产后服务中心等基础设施建设。实施农村电网改造升级工程。提升农村防灾减灾救灾能力。</w:t>
      </w:r>
    </w:p>
    <w:p>
      <w:pPr>
        <w:keepNext w:val="0"/>
        <w:keepLines w:val="0"/>
        <w:pageBreakBefore w:val="0"/>
        <w:widowControl w:val="0"/>
        <w:kinsoku/>
        <w:wordWrap/>
        <w:overflowPunct/>
        <w:topLinePunct w:val="0"/>
        <w:autoSpaceDE/>
        <w:autoSpaceDN/>
        <w:bidi w:val="0"/>
        <w:adjustRightInd/>
        <w:snapToGrid w:val="0"/>
        <w:spacing w:line="600" w:lineRule="exact"/>
        <w:ind w:firstLine="635"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b/>
          <w:bCs/>
          <w:color w:val="auto"/>
          <w:spacing w:val="-2"/>
          <w:sz w:val="32"/>
          <w:szCs w:val="32"/>
          <w:lang w:val="en-US" w:eastAsia="zh-CN"/>
        </w:rPr>
        <w:t>接续推进</w:t>
      </w:r>
      <w:r>
        <w:rPr>
          <w:rFonts w:hint="eastAsia" w:ascii="仿宋_GB2312" w:hAnsi="仿宋_GB2312" w:eastAsia="仿宋_GB2312" w:cs="仿宋_GB2312"/>
          <w:b/>
          <w:bCs/>
          <w:color w:val="auto"/>
          <w:spacing w:val="-2"/>
          <w:sz w:val="32"/>
          <w:szCs w:val="32"/>
        </w:rPr>
        <w:t>农村人居环境</w:t>
      </w:r>
      <w:r>
        <w:rPr>
          <w:rFonts w:hint="eastAsia" w:ascii="仿宋_GB2312" w:hAnsi="仿宋_GB2312" w:eastAsia="仿宋_GB2312" w:cs="仿宋_GB2312"/>
          <w:b/>
          <w:bCs/>
          <w:color w:val="auto"/>
          <w:spacing w:val="-2"/>
          <w:sz w:val="32"/>
          <w:szCs w:val="32"/>
          <w:lang w:val="en-US" w:eastAsia="zh-CN"/>
        </w:rPr>
        <w:t>整治提升</w:t>
      </w:r>
      <w:r>
        <w:rPr>
          <w:rFonts w:hint="eastAsia" w:ascii="仿宋_GB2312" w:hAnsi="仿宋_GB2312" w:eastAsia="仿宋_GB2312" w:cs="仿宋_GB2312"/>
          <w:b/>
          <w:bCs/>
          <w:color w:val="auto"/>
          <w:spacing w:val="-2"/>
          <w:sz w:val="32"/>
          <w:szCs w:val="32"/>
        </w:rPr>
        <w:t>。</w:t>
      </w:r>
      <w:r>
        <w:rPr>
          <w:rFonts w:hint="eastAsia" w:ascii="仿宋_GB2312" w:hAnsi="仿宋_GB2312" w:eastAsia="仿宋_GB2312" w:cs="仿宋_GB2312"/>
          <w:color w:val="auto"/>
          <w:spacing w:val="-2"/>
          <w:sz w:val="32"/>
          <w:szCs w:val="32"/>
        </w:rPr>
        <w:t>推动环保、绿化和美化的有机结合,实现对布点规划保留的212个自然村环境综合整治全覆盖。统筹山水林田系统治理，实施重要生态系统保护和修复工程，加强河道清淤和美化工作，建设美丽河流。持续开展“五清一改”村庄清洁行动。聚焦厕所、垃圾、污水处理，一体化推进农村环境“三大革命”。注重环境整治向每个家庭延伸，引导村民养成良好卫生习惯，美化绿化庭院。</w:t>
      </w:r>
    </w:p>
    <w:p>
      <w:pPr>
        <w:pStyle w:val="4"/>
        <w:keepNext/>
        <w:keepLines/>
        <w:pageBreakBefore w:val="0"/>
        <w:widowControl w:val="0"/>
        <w:kinsoku/>
        <w:wordWrap/>
        <w:overflowPunct/>
        <w:topLinePunct w:val="0"/>
        <w:autoSpaceDE/>
        <w:autoSpaceDN/>
        <w:bidi w:val="0"/>
        <w:adjustRightInd/>
        <w:snapToGrid/>
        <w:spacing w:before="318" w:beforeLines="100" w:after="318" w:afterLines="100" w:line="640" w:lineRule="exact"/>
        <w:ind w:left="0" w:leftChars="0" w:firstLine="0" w:firstLineChars="0"/>
        <w:jc w:val="center"/>
        <w:textAlignment w:val="auto"/>
        <w:outlineLvl w:val="1"/>
        <w:rPr>
          <w:rFonts w:ascii="仿宋_GB2312" w:hAnsi="楷体" w:eastAsia="仿宋_GB2312"/>
          <w:color w:val="auto"/>
          <w:szCs w:val="30"/>
        </w:rPr>
      </w:pPr>
      <w:bookmarkStart w:id="269" w:name="_Toc9917"/>
      <w:bookmarkStart w:id="270" w:name="_Toc29219_WPSOffice_Level2"/>
      <w:bookmarkStart w:id="271" w:name="_Toc8277"/>
      <w:bookmarkStart w:id="272" w:name="_Toc30244"/>
      <w:r>
        <w:rPr>
          <w:rFonts w:hint="eastAsia" w:ascii="仿宋_GB2312" w:hAnsi="楷体" w:eastAsia="仿宋_GB2312"/>
          <w:color w:val="auto"/>
          <w:szCs w:val="30"/>
        </w:rPr>
        <w:t xml:space="preserve">第三节 </w:t>
      </w:r>
      <w:r>
        <w:rPr>
          <w:rFonts w:hint="eastAsia" w:ascii="仿宋_GB2312" w:hAnsi="楷体" w:eastAsia="仿宋_GB2312"/>
          <w:color w:val="auto"/>
          <w:szCs w:val="30"/>
          <w:lang w:val="en-US" w:eastAsia="zh-CN"/>
        </w:rPr>
        <w:t xml:space="preserve"> </w:t>
      </w:r>
      <w:r>
        <w:rPr>
          <w:rFonts w:hint="eastAsia" w:ascii="仿宋_GB2312" w:hAnsi="楷体" w:eastAsia="仿宋_GB2312"/>
          <w:color w:val="auto"/>
          <w:szCs w:val="30"/>
        </w:rPr>
        <w:t>全面深化农村改革</w:t>
      </w:r>
      <w:bookmarkEnd w:id="269"/>
      <w:bookmarkEnd w:id="270"/>
      <w:bookmarkEnd w:id="271"/>
      <w:bookmarkEnd w:id="27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衔接落实第二轮土地承包到期后再延长三十年政策，完善农村承包地“三权分置”制度。</w:t>
      </w:r>
      <w:r>
        <w:rPr>
          <w:rFonts w:hint="eastAsia" w:ascii="仿宋_GB2312" w:hAnsi="仿宋_GB2312" w:eastAsia="仿宋_GB2312" w:cs="仿宋_GB2312"/>
          <w:color w:val="auto"/>
          <w:sz w:val="32"/>
          <w:szCs w:val="32"/>
          <w:lang w:val="en-US" w:eastAsia="zh-CN"/>
        </w:rPr>
        <w:t>推深做实林长制、河长制改革。</w:t>
      </w:r>
      <w:r>
        <w:rPr>
          <w:rFonts w:hint="eastAsia" w:ascii="仿宋_GB2312" w:hAnsi="仿宋_GB2312" w:eastAsia="仿宋_GB2312" w:cs="仿宋_GB2312"/>
          <w:color w:val="auto"/>
          <w:sz w:val="32"/>
          <w:szCs w:val="32"/>
        </w:rPr>
        <w:t>建立健全农业农村多元化投融资体制，实施新型农业经营主体培育工程，大力发展农民合作社、家庭农场等新型农业经营主体，健全农业专业化服务体系，发展多种形式适度规模经营，实现小农户和现代农业有机衔接。进一步巩固农村集体产权制度改革和“三变”改革成果，</w:t>
      </w:r>
      <w:r>
        <w:rPr>
          <w:rFonts w:hint="eastAsia" w:ascii="仿宋_GB2312" w:hAnsi="仿宋_GB2312" w:eastAsia="仿宋_GB2312"/>
          <w:color w:val="auto"/>
          <w:sz w:val="32"/>
          <w:szCs w:val="32"/>
          <w:shd w:val="clear" w:color="auto" w:fill="FFFFFF"/>
        </w:rPr>
        <w:t>壮大村级集体经济，不断扩大优村、强村规模。</w:t>
      </w:r>
      <w:r>
        <w:rPr>
          <w:rFonts w:hint="eastAsia" w:ascii="仿宋_GB2312" w:hAnsi="仿宋_GB2312" w:eastAsia="仿宋_GB2312" w:cs="仿宋_GB2312"/>
          <w:color w:val="auto"/>
          <w:sz w:val="32"/>
          <w:szCs w:val="32"/>
        </w:rPr>
        <w:t>探索农村宅基地所有权、资格权、使用权“三权分置”，落实宅基地集体所有权，扎实推进宅基地使用权登记颁证，保障宅基地农户资格权，放活用好宅基地及农房使用权，推进农村闲置宅基地（住宅）盘活利用试点，鼓励依法自愿有偿转让，保障进城落户农民土地承包权、宅基地使用权、集体收益分配权。创新宅基地及农房使用权抵押融资机制，稳步提高土地出让收入用于支持乡村振兴的比例。</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textAlignment w:val="auto"/>
        <w:outlineLvl w:val="1"/>
        <w:rPr>
          <w:color w:val="auto"/>
        </w:rPr>
      </w:pPr>
    </w:p>
    <w:p>
      <w:pPr>
        <w:pageBreakBefore w:val="0"/>
        <w:widowControl w:val="0"/>
        <w:kinsoku/>
        <w:wordWrap/>
        <w:overflowPunct/>
        <w:topLinePunct w:val="0"/>
        <w:bidi w:val="0"/>
        <w:spacing w:line="640" w:lineRule="exact"/>
        <w:ind w:left="0" w:leftChars="0" w:firstLine="0" w:firstLineChars="0"/>
        <w:jc w:val="center"/>
        <w:textAlignment w:val="auto"/>
        <w:outlineLvl w:val="1"/>
        <w:rPr>
          <w:rFonts w:ascii="仿宋_GB2312" w:hAnsi="仿宋_GB2312" w:eastAsia="仿宋_GB2312" w:cs="仿宋_GB2312"/>
          <w:b/>
          <w:bCs/>
          <w:color w:val="auto"/>
          <w:sz w:val="32"/>
          <w:szCs w:val="32"/>
        </w:rPr>
      </w:pPr>
      <w:bookmarkStart w:id="273" w:name="_Toc26357_WPSOffice_Level2"/>
      <w:r>
        <w:rPr>
          <w:rFonts w:hint="eastAsia" w:ascii="仿宋_GB2312" w:hAnsi="仿宋_GB2312" w:eastAsia="仿宋_GB2312" w:cs="仿宋_GB2312"/>
          <w:b/>
          <w:bCs/>
          <w:color w:val="auto"/>
          <w:sz w:val="32"/>
          <w:szCs w:val="32"/>
        </w:rPr>
        <w:t xml:space="preserve">第四节  </w:t>
      </w:r>
      <w:r>
        <w:rPr>
          <w:rFonts w:hint="eastAsia" w:ascii="仿宋_GB2312" w:hAnsi="仿宋_GB2312" w:eastAsia="仿宋_GB2312" w:cs="仿宋_GB2312"/>
          <w:b/>
          <w:bCs/>
          <w:color w:val="auto"/>
          <w:sz w:val="32"/>
          <w:szCs w:val="32"/>
          <w:lang w:val="en-US" w:eastAsia="zh-CN"/>
        </w:rPr>
        <w:t>实现巩固</w:t>
      </w:r>
      <w:r>
        <w:rPr>
          <w:rFonts w:hint="eastAsia" w:ascii="仿宋_GB2312" w:hAnsi="仿宋_GB2312" w:eastAsia="仿宋_GB2312" w:cs="仿宋_GB2312"/>
          <w:b/>
          <w:bCs/>
          <w:color w:val="auto"/>
          <w:sz w:val="32"/>
          <w:szCs w:val="32"/>
        </w:rPr>
        <w:t>脱贫攻坚成果同乡村振兴有效衔接</w:t>
      </w:r>
      <w:bookmarkEnd w:id="273"/>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1"/>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1"/>
        <w:rPr>
          <w:color w:val="auto"/>
        </w:rPr>
      </w:pPr>
      <w:r>
        <w:rPr>
          <w:rFonts w:hint="eastAsia" w:ascii="仿宋_GB2312" w:hAnsi="仿宋_GB2312" w:eastAsia="仿宋_GB2312" w:cs="仿宋_GB2312"/>
          <w:color w:val="auto"/>
          <w:sz w:val="32"/>
          <w:szCs w:val="32"/>
        </w:rPr>
        <w:t>着力构建防止</w:t>
      </w:r>
      <w:r>
        <w:rPr>
          <w:rFonts w:hint="eastAsia" w:ascii="仿宋_GB2312" w:hAnsi="仿宋_GB2312" w:eastAsia="仿宋_GB2312" w:cs="仿宋_GB2312"/>
          <w:color w:val="auto"/>
          <w:sz w:val="32"/>
          <w:szCs w:val="32"/>
          <w:lang w:val="en-US" w:eastAsia="zh-CN"/>
        </w:rPr>
        <w:t>规模性</w:t>
      </w:r>
      <w:r>
        <w:rPr>
          <w:rFonts w:hint="eastAsia" w:ascii="仿宋_GB2312" w:hAnsi="仿宋_GB2312" w:eastAsia="仿宋_GB2312" w:cs="仿宋_GB2312"/>
          <w:color w:val="auto"/>
          <w:sz w:val="32"/>
          <w:szCs w:val="32"/>
        </w:rPr>
        <w:t>返贫，应对相对贫困和产业扶贫、就业扶贫等长远发展的体制机制，巩固脱贫攻坚成果。保持财政资金投入力度总体稳定，落实“四个不摘”要求，做好脱贫攻坚政策统筹衔接，确保脱贫攻坚成色足、可持续。把脱贫作为新奋斗的起点，把解决相对贫困问题纳入实施乡村振兴战略统筹安排，加强对脱贫不稳定户、边缘易致贫户的防止返贫监测和帮扶，常态化推进和帮助困难群众解决生产生活中困难。建立和完善乡村振兴和</w:t>
      </w:r>
      <w:r>
        <w:rPr>
          <w:rFonts w:hint="eastAsia" w:ascii="仿宋_GB2312" w:hAnsi="仿宋_GB2312" w:eastAsia="仿宋_GB2312" w:cs="仿宋_GB2312"/>
          <w:color w:val="auto"/>
          <w:sz w:val="32"/>
          <w:szCs w:val="32"/>
          <w:lang w:val="en-US" w:eastAsia="zh-CN"/>
        </w:rPr>
        <w:t>巩固</w:t>
      </w:r>
      <w:r>
        <w:rPr>
          <w:rFonts w:hint="eastAsia" w:ascii="仿宋_GB2312" w:hAnsi="仿宋_GB2312" w:eastAsia="仿宋_GB2312" w:cs="仿宋_GB2312"/>
          <w:color w:val="auto"/>
          <w:sz w:val="32"/>
          <w:szCs w:val="32"/>
        </w:rPr>
        <w:t>脱贫项目库,优化财政支农投入供给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加强和规范扶贫资产管理</w:t>
      </w:r>
      <w:r>
        <w:rPr>
          <w:rFonts w:hint="eastAsia" w:ascii="仿宋_GB2312" w:hAnsi="仿宋_GB2312" w:eastAsia="仿宋_GB2312" w:cs="仿宋_GB2312"/>
          <w:color w:val="auto"/>
          <w:sz w:val="32"/>
          <w:szCs w:val="32"/>
        </w:rPr>
        <w:t>，提高资金使用效益。</w:t>
      </w:r>
      <w:r>
        <w:rPr>
          <w:rFonts w:hint="eastAsia" w:ascii="仿宋_GB2312" w:hAnsi="仿宋_GB2312" w:eastAsia="仿宋_GB2312" w:cs="仿宋_GB2312"/>
          <w:color w:val="auto"/>
          <w:spacing w:val="-2"/>
          <w:sz w:val="32"/>
          <w:szCs w:val="32"/>
        </w:rPr>
        <w:t>加强农民科技文化武装，完善村党组织领导乡村治理的体制机制，加强农村精神文明建设，创建文明乡村。</w:t>
      </w:r>
      <w:r>
        <w:rPr>
          <w:rFonts w:hint="eastAsia" w:ascii="仿宋_GB2312" w:hAnsi="仿宋_GB2312" w:eastAsia="仿宋_GB2312" w:cs="仿宋_GB2312"/>
          <w:color w:val="auto"/>
          <w:sz w:val="32"/>
          <w:szCs w:val="32"/>
        </w:rPr>
        <w:t>探索实行乡村振兴定点帮扶、社会帮扶的工作机制,</w:t>
      </w:r>
      <w:r>
        <w:rPr>
          <w:rFonts w:hint="eastAsia" w:ascii="仿宋_GB2312" w:hAnsi="楷体_GB2312" w:eastAsia="仿宋_GB2312" w:cs="楷体_GB2312"/>
          <w:bCs/>
          <w:color w:val="auto"/>
          <w:sz w:val="32"/>
          <w:szCs w:val="32"/>
        </w:rPr>
        <w:t>实施百名能人带动增收工程，</w:t>
      </w:r>
      <w:r>
        <w:rPr>
          <w:rFonts w:hint="eastAsia" w:ascii="仿宋_GB2312" w:hAnsi="仿宋_GB2312" w:eastAsia="仿宋_GB2312" w:cs="仿宋_GB2312"/>
          <w:color w:val="auto"/>
          <w:sz w:val="32"/>
          <w:szCs w:val="32"/>
        </w:rPr>
        <w:t>动员全社会力量</w:t>
      </w:r>
      <w:r>
        <w:rPr>
          <w:rFonts w:hint="eastAsia" w:ascii="仿宋_GB2312" w:hAnsi="楷体_GB2312" w:eastAsia="仿宋_GB2312" w:cs="楷体_GB2312"/>
          <w:bCs/>
          <w:color w:val="auto"/>
          <w:sz w:val="32"/>
          <w:szCs w:val="32"/>
        </w:rPr>
        <w:t>带动农民增收致富、</w:t>
      </w:r>
      <w:r>
        <w:rPr>
          <w:rFonts w:hint="eastAsia" w:ascii="仿宋_GB2312" w:hAnsi="仿宋_GB2312" w:eastAsia="仿宋_GB2312" w:cs="仿宋_GB2312"/>
          <w:color w:val="auto"/>
          <w:sz w:val="32"/>
          <w:szCs w:val="32"/>
        </w:rPr>
        <w:t>参与乡村振兴，接续推进全面脱贫与乡村振兴有效衔接。</w:t>
      </w:r>
    </w:p>
    <w:p>
      <w:pPr>
        <w:pStyle w:val="2"/>
        <w:ind w:left="0" w:leftChars="0" w:firstLine="0" w:firstLineChars="0"/>
        <w:outlineLvl w:val="1"/>
        <w:rPr>
          <w:color w:val="auto"/>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45"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专栏1</w:t>
            </w:r>
            <w:r>
              <w:rPr>
                <w:rFonts w:hint="eastAsia" w:ascii="仿宋_GB2312" w:hAnsi="仿宋_GB2312" w:eastAsia="仿宋_GB2312" w:cs="仿宋_GB2312"/>
                <w:b/>
                <w:color w:val="auto"/>
                <w:sz w:val="28"/>
                <w:szCs w:val="28"/>
                <w:lang w:val="en-US" w:eastAsia="zh-CN"/>
              </w:rPr>
              <w:t>6</w:t>
            </w:r>
            <w:r>
              <w:rPr>
                <w:rFonts w:hint="eastAsia" w:ascii="仿宋_GB2312" w:hAnsi="仿宋_GB2312" w:eastAsia="仿宋_GB2312" w:cs="仿宋_GB2312"/>
                <w:b/>
                <w:color w:val="auto"/>
                <w:sz w:val="28"/>
                <w:szCs w:val="28"/>
              </w:rPr>
              <w:t xml:space="preserve"> 扶贫开发重点项目</w:t>
            </w:r>
          </w:p>
        </w:tc>
      </w:tr>
      <w:tr>
        <w:tblPrEx>
          <w:tblCellMar>
            <w:top w:w="0" w:type="dxa"/>
            <w:left w:w="108" w:type="dxa"/>
            <w:bottom w:w="0" w:type="dxa"/>
            <w:right w:w="108" w:type="dxa"/>
          </w:tblCellMar>
        </w:tblPrEx>
        <w:trPr>
          <w:trHeight w:val="5524"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46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产业项目。</w:t>
            </w:r>
            <w:r>
              <w:rPr>
                <w:rFonts w:hint="eastAsia" w:ascii="仿宋_GB2312" w:hAnsi="仿宋_GB2312" w:eastAsia="仿宋_GB2312" w:cs="仿宋_GB2312"/>
                <w:color w:val="auto"/>
                <w:sz w:val="28"/>
                <w:szCs w:val="28"/>
              </w:rPr>
              <w:t>谋划</w:t>
            </w:r>
            <w:r>
              <w:rPr>
                <w:rFonts w:hint="eastAsia" w:ascii="仿宋_GB2312" w:hAnsi="仿宋_GB2312" w:eastAsia="仿宋_GB2312" w:cs="仿宋_GB2312"/>
                <w:color w:val="auto"/>
                <w:sz w:val="28"/>
                <w:szCs w:val="28"/>
                <w:lang w:val="en-US" w:eastAsia="zh-CN"/>
              </w:rPr>
              <w:t>到乡到村到户</w:t>
            </w:r>
            <w:r>
              <w:rPr>
                <w:rFonts w:hint="eastAsia" w:ascii="仿宋_GB2312" w:hAnsi="仿宋_GB2312" w:eastAsia="仿宋_GB2312" w:cs="仿宋_GB2312"/>
                <w:color w:val="auto"/>
                <w:sz w:val="28"/>
                <w:szCs w:val="28"/>
              </w:rPr>
              <w:t>产业扶贫项目，发展壮大山核桃、油茶、笋干、茶叶、食用菌、中药材、高山蔬菜、黑猪、黄牛、石斑鱼等特色产</w:t>
            </w:r>
            <w:r>
              <w:rPr>
                <w:rFonts w:hint="eastAsia" w:ascii="仿宋_GB2312" w:hAnsi="仿宋_GB2312" w:eastAsia="仿宋_GB2312" w:cs="仿宋_GB2312"/>
                <w:color w:val="auto"/>
                <w:sz w:val="28"/>
                <w:szCs w:val="28"/>
                <w:lang w:val="en-US" w:eastAsia="zh-CN"/>
              </w:rPr>
              <w:t>业</w:t>
            </w:r>
            <w:r>
              <w:rPr>
                <w:rFonts w:hint="eastAsia" w:ascii="仿宋_GB2312" w:hAnsi="仿宋_GB2312" w:eastAsia="仿宋_GB2312" w:cs="仿宋_GB2312"/>
                <w:color w:val="auto"/>
                <w:sz w:val="28"/>
                <w:szCs w:val="28"/>
              </w:rPr>
              <w:t>，持续谋划乡村旅游扶贫项目。</w:t>
            </w:r>
          </w:p>
          <w:p>
            <w:pPr>
              <w:keepNext w:val="0"/>
              <w:keepLines w:val="0"/>
              <w:pageBreakBefore w:val="0"/>
              <w:widowControl w:val="0"/>
              <w:kinsoku/>
              <w:wordWrap/>
              <w:overflowPunct/>
              <w:topLinePunct w:val="0"/>
              <w:autoSpaceDE w:val="0"/>
              <w:autoSpaceDN w:val="0"/>
              <w:bidi w:val="0"/>
              <w:adjustRightInd w:val="0"/>
              <w:snapToGrid/>
              <w:spacing w:before="156" w:line="460" w:lineRule="exact"/>
              <w:ind w:firstLine="562" w:firstLineChars="200"/>
              <w:textAlignment w:val="auto"/>
              <w:outlineLvl w:val="1"/>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b/>
                <w:color w:val="auto"/>
                <w:sz w:val="28"/>
                <w:szCs w:val="28"/>
              </w:rPr>
              <w:t>就业项目。</w:t>
            </w:r>
            <w:r>
              <w:rPr>
                <w:rFonts w:hint="eastAsia" w:ascii="仿宋_GB2312" w:hAnsi="仿宋_GB2312" w:eastAsia="仿宋_GB2312" w:cs="仿宋_GB2312"/>
                <w:color w:val="auto"/>
                <w:sz w:val="28"/>
                <w:szCs w:val="28"/>
              </w:rPr>
              <w:t>积极开发公益岗位，</w:t>
            </w:r>
            <w:r>
              <w:rPr>
                <w:rFonts w:hint="eastAsia" w:ascii="仿宋_GB2312" w:hAnsi="仿宋_GB2312" w:eastAsia="仿宋_GB2312" w:cs="仿宋_GB2312"/>
                <w:color w:val="auto"/>
                <w:sz w:val="28"/>
                <w:szCs w:val="28"/>
                <w:lang w:val="en-US" w:eastAsia="zh-CN"/>
              </w:rPr>
              <w:t>拓宽就地就近就业渠道。</w:t>
            </w:r>
          </w:p>
          <w:p>
            <w:pPr>
              <w:keepNext w:val="0"/>
              <w:keepLines w:val="0"/>
              <w:pageBreakBefore w:val="0"/>
              <w:widowControl w:val="0"/>
              <w:kinsoku/>
              <w:wordWrap/>
              <w:overflowPunct/>
              <w:topLinePunct w:val="0"/>
              <w:autoSpaceDE w:val="0"/>
              <w:autoSpaceDN w:val="0"/>
              <w:bidi w:val="0"/>
              <w:adjustRightInd w:val="0"/>
              <w:snapToGrid/>
              <w:spacing w:before="156" w:line="46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教育项目。</w:t>
            </w:r>
            <w:r>
              <w:rPr>
                <w:rFonts w:hint="eastAsia" w:ascii="仿宋_GB2312" w:hAnsi="仿宋_GB2312" w:eastAsia="仿宋_GB2312" w:cs="仿宋_GB2312"/>
                <w:color w:val="auto"/>
                <w:sz w:val="28"/>
                <w:szCs w:val="28"/>
              </w:rPr>
              <w:t>持续完善各级各类教育资助政策，持续实施“雨露计划”职业教育补助。</w:t>
            </w:r>
          </w:p>
          <w:p>
            <w:pPr>
              <w:keepNext w:val="0"/>
              <w:keepLines w:val="0"/>
              <w:pageBreakBefore w:val="0"/>
              <w:widowControl w:val="0"/>
              <w:kinsoku/>
              <w:wordWrap/>
              <w:overflowPunct/>
              <w:topLinePunct w:val="0"/>
              <w:autoSpaceDE w:val="0"/>
              <w:autoSpaceDN w:val="0"/>
              <w:bidi w:val="0"/>
              <w:adjustRightInd w:val="0"/>
              <w:snapToGrid/>
              <w:spacing w:before="156" w:line="460" w:lineRule="exact"/>
              <w:ind w:firstLine="562" w:firstLineChars="200"/>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双基项目。</w:t>
            </w:r>
            <w:r>
              <w:rPr>
                <w:rFonts w:hint="eastAsia" w:ascii="仿宋_GB2312" w:hAnsi="仿宋_GB2312" w:eastAsia="仿宋_GB2312" w:cs="仿宋_GB2312"/>
                <w:color w:val="auto"/>
                <w:sz w:val="28"/>
                <w:szCs w:val="28"/>
              </w:rPr>
              <w:t>道路基础设施建设方面，谋划实施三</w:t>
            </w:r>
            <w:r>
              <w:rPr>
                <w:rFonts w:hint="eastAsia" w:ascii="仿宋_GB2312" w:hAnsi="仿宋_GB2312" w:eastAsia="仿宋_GB2312" w:cs="仿宋_GB2312"/>
                <w:color w:val="auto"/>
                <w:sz w:val="28"/>
                <w:szCs w:val="28"/>
                <w:lang w:val="en-US" w:eastAsia="zh-CN"/>
              </w:rPr>
              <w:t>类</w:t>
            </w:r>
            <w:r>
              <w:rPr>
                <w:rFonts w:hint="eastAsia" w:ascii="仿宋_GB2312" w:hAnsi="仿宋_GB2312" w:eastAsia="仿宋_GB2312" w:cs="仿宋_GB2312"/>
                <w:color w:val="auto"/>
                <w:sz w:val="28"/>
                <w:szCs w:val="28"/>
              </w:rPr>
              <w:t>项目：20户以下通村组、居民点公路路基或路面硬化项目，乡村公路维修、安防及附属设施项目，产业道路、乡村旅游道路、循环路、末梢路等。水利基础设施方面，谋划实施饮水安全巩固提升项目。</w:t>
            </w:r>
          </w:p>
        </w:tc>
      </w:tr>
    </w:tbl>
    <w:p>
      <w:pPr>
        <w:pStyle w:val="4"/>
        <w:keepNext w:val="0"/>
        <w:keepLines w:val="0"/>
        <w:pageBreakBefore w:val="0"/>
        <w:widowControl w:val="0"/>
        <w:kinsoku/>
        <w:wordWrap/>
        <w:overflowPunct/>
        <w:topLinePunct w:val="0"/>
        <w:autoSpaceDE/>
        <w:autoSpaceDN/>
        <w:bidi w:val="0"/>
        <w:adjustRightInd w:val="0"/>
        <w:snapToGrid w:val="0"/>
        <w:spacing w:before="0" w:after="0" w:line="400" w:lineRule="exact"/>
        <w:ind w:firstLine="0" w:firstLineChars="0"/>
        <w:jc w:val="center"/>
        <w:textAlignment w:val="auto"/>
        <w:outlineLvl w:val="1"/>
        <w:rPr>
          <w:rFonts w:ascii="黑体" w:hAnsi="黑体" w:eastAsia="黑体"/>
          <w:bCs w:val="0"/>
          <w:snapToGrid w:val="0"/>
          <w:color w:val="auto"/>
          <w:kern w:val="0"/>
          <w:sz w:val="32"/>
          <w:szCs w:val="36"/>
        </w:rPr>
      </w:pPr>
      <w:bookmarkStart w:id="274" w:name="_Toc48039852"/>
      <w:bookmarkStart w:id="275" w:name="_Toc10350"/>
    </w:p>
    <w:bookmarkEnd w:id="274"/>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276" w:name="_Toc18699"/>
      <w:bookmarkStart w:id="277" w:name="_Toc5715_WPSOffice_Level1"/>
      <w:bookmarkStart w:id="278" w:name="_Toc1005"/>
      <w:r>
        <w:rPr>
          <w:rFonts w:hint="eastAsia" w:ascii="方正小标宋简体" w:hAnsi="方正小标宋简体" w:eastAsia="方正小标宋简体" w:cs="方正小标宋简体"/>
          <w:b w:val="0"/>
          <w:bCs w:val="0"/>
          <w:color w:val="auto"/>
          <w:sz w:val="36"/>
          <w:szCs w:val="36"/>
          <w:lang w:eastAsia="zh-CN"/>
        </w:rPr>
        <w:t>第五章</w:t>
      </w:r>
      <w:r>
        <w:rPr>
          <w:rFonts w:hint="eastAsia" w:ascii="方正小标宋简体" w:hAnsi="方正小标宋简体" w:eastAsia="方正小标宋简体" w:cs="方正小标宋简体"/>
          <w:b w:val="0"/>
          <w:bCs w:val="0"/>
          <w:color w:val="auto"/>
          <w:sz w:val="36"/>
          <w:szCs w:val="36"/>
          <w:lang w:val="en-US" w:eastAsia="zh-CN"/>
        </w:rPr>
        <w:t xml:space="preserve">  </w:t>
      </w:r>
      <w:r>
        <w:rPr>
          <w:rFonts w:hint="eastAsia" w:ascii="方正小标宋简体" w:hAnsi="方正小标宋简体" w:eastAsia="方正小标宋简体" w:cs="方正小标宋简体"/>
          <w:b w:val="0"/>
          <w:bCs w:val="0"/>
          <w:color w:val="auto"/>
          <w:sz w:val="36"/>
          <w:szCs w:val="36"/>
          <w:lang w:eastAsia="zh-CN"/>
        </w:rPr>
        <w:t>推进以人为核心的新型城镇化 加快</w:t>
      </w:r>
      <w:bookmarkEnd w:id="276"/>
      <w:bookmarkEnd w:id="277"/>
      <w:bookmarkEnd w:id="278"/>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40"/>
          <w:szCs w:val="40"/>
          <w:lang w:eastAsia="zh-CN"/>
        </w:rPr>
      </w:pPr>
      <w:bookmarkStart w:id="279" w:name="_Toc14605"/>
      <w:bookmarkStart w:id="280" w:name="_Toc22301_WPSOffice_Level2"/>
      <w:bookmarkStart w:id="281" w:name="_Toc12832_WPSOffice_Level2"/>
      <w:bookmarkStart w:id="282" w:name="_Toc18779_WPSOffice_Level2"/>
      <w:bookmarkStart w:id="283" w:name="_Toc18781_WPSOffice_Level2"/>
      <w:bookmarkStart w:id="284" w:name="_Toc17214_WPSOffice_Level2"/>
      <w:bookmarkStart w:id="285" w:name="_Toc1017_WPSOffice_Level2"/>
      <w:bookmarkStart w:id="286" w:name="_Toc2337"/>
      <w:bookmarkStart w:id="287" w:name="_Toc15343_WPSOffice_Level2"/>
      <w:bookmarkStart w:id="288" w:name="_Toc21157_WPSOffice_Level2"/>
      <w:bookmarkStart w:id="289" w:name="_Toc17040_WPSOffice_Level2"/>
      <w:r>
        <w:rPr>
          <w:rFonts w:hint="eastAsia" w:ascii="方正小标宋简体" w:hAnsi="方正小标宋简体" w:eastAsia="方正小标宋简体" w:cs="方正小标宋简体"/>
          <w:b w:val="0"/>
          <w:bCs w:val="0"/>
          <w:color w:val="auto"/>
          <w:sz w:val="36"/>
          <w:szCs w:val="36"/>
          <w:lang w:eastAsia="zh-CN"/>
        </w:rPr>
        <w:t>形成城乡区域协调发展新格局</w:t>
      </w:r>
      <w:bookmarkEnd w:id="275"/>
      <w:bookmarkEnd w:id="279"/>
      <w:bookmarkEnd w:id="280"/>
      <w:bookmarkEnd w:id="281"/>
      <w:bookmarkEnd w:id="282"/>
      <w:bookmarkEnd w:id="283"/>
      <w:bookmarkEnd w:id="284"/>
      <w:bookmarkEnd w:id="285"/>
      <w:bookmarkEnd w:id="286"/>
      <w:bookmarkEnd w:id="287"/>
      <w:bookmarkEnd w:id="288"/>
      <w:bookmarkEnd w:id="289"/>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统筹谋划县域发展布局和城乡基础设施建设，优化空间发展格局，着力增强县城的承载能力、集聚和辐射能力，促进特色乡镇发展，推进城乡一体化进程。</w:t>
      </w:r>
    </w:p>
    <w:p>
      <w:pPr>
        <w:keepNext w:val="0"/>
        <w:keepLines w:val="0"/>
        <w:pageBreakBefore w:val="0"/>
        <w:widowControl w:val="0"/>
        <w:kinsoku/>
        <w:wordWrap/>
        <w:overflowPunct/>
        <w:topLinePunct w:val="0"/>
        <w:autoSpaceDE/>
        <w:autoSpaceDN/>
        <w:bidi w:val="0"/>
        <w:adjustRightInd/>
        <w:snapToGrid/>
        <w:spacing w:line="400" w:lineRule="exact"/>
        <w:ind w:firstLine="656" w:firstLineChars="200"/>
        <w:textAlignment w:val="auto"/>
        <w:outlineLvl w:val="1"/>
        <w:rPr>
          <w:rFonts w:ascii="仿宋_GB2312" w:hAnsi="Calibri" w:eastAsia="仿宋_GB2312" w:cs="Times New Roman"/>
          <w:color w:val="auto"/>
          <w:spacing w:val="4"/>
          <w:kern w:val="0"/>
          <w:sz w:val="32"/>
          <w:szCs w:val="32"/>
        </w:rPr>
      </w:pPr>
    </w:p>
    <w:p>
      <w:pPr>
        <w:pStyle w:val="4"/>
        <w:pageBreakBefore w:val="0"/>
        <w:widowControl w:val="0"/>
        <w:kinsoku/>
        <w:wordWrap/>
        <w:overflowPunct/>
        <w:topLinePunct w:val="0"/>
        <w:autoSpaceDE/>
        <w:autoSpaceDN/>
        <w:bidi w:val="0"/>
        <w:adjustRightInd/>
        <w:snapToGrid/>
        <w:spacing w:before="0" w:after="0" w:line="540" w:lineRule="exact"/>
        <w:jc w:val="center"/>
        <w:textAlignment w:val="auto"/>
        <w:outlineLvl w:val="1"/>
        <w:rPr>
          <w:rFonts w:ascii="仿宋_GB2312" w:hAnsi="楷体" w:eastAsia="仿宋_GB2312"/>
          <w:color w:val="auto"/>
          <w:szCs w:val="30"/>
        </w:rPr>
      </w:pPr>
      <w:bookmarkStart w:id="290" w:name="_Toc31703"/>
      <w:bookmarkStart w:id="291" w:name="_Toc18373"/>
      <w:bookmarkStart w:id="292" w:name="_Toc29771"/>
      <w:bookmarkStart w:id="293" w:name="_Toc25951_WPSOffice_Level2"/>
      <w:r>
        <w:rPr>
          <w:rFonts w:hint="eastAsia" w:ascii="仿宋_GB2312" w:hAnsi="楷体" w:eastAsia="仿宋_GB2312"/>
          <w:color w:val="auto"/>
          <w:szCs w:val="30"/>
        </w:rPr>
        <w:t xml:space="preserve">第一节  </w:t>
      </w:r>
      <w:bookmarkEnd w:id="290"/>
      <w:r>
        <w:rPr>
          <w:rFonts w:hint="eastAsia" w:ascii="仿宋_GB2312" w:hAnsi="楷体" w:eastAsia="仿宋_GB2312"/>
          <w:color w:val="auto"/>
          <w:szCs w:val="30"/>
        </w:rPr>
        <w:t>优化“一主两翼”城乡发展布局</w:t>
      </w:r>
      <w:bookmarkEnd w:id="291"/>
      <w:bookmarkEnd w:id="292"/>
      <w:bookmarkEnd w:id="293"/>
    </w:p>
    <w:p>
      <w:pPr>
        <w:keepNext w:val="0"/>
        <w:keepLines w:val="0"/>
        <w:pageBreakBefore w:val="0"/>
        <w:widowControl w:val="0"/>
        <w:kinsoku/>
        <w:wordWrap/>
        <w:overflowPunct/>
        <w:topLinePunct w:val="0"/>
        <w:autoSpaceDE/>
        <w:autoSpaceDN/>
        <w:bidi w:val="0"/>
        <w:adjustRightInd/>
        <w:snapToGrid/>
        <w:spacing w:line="400" w:lineRule="exact"/>
        <w:ind w:firstLine="800" w:firstLineChars="250"/>
        <w:jc w:val="center"/>
        <w:textAlignment w:val="auto"/>
        <w:outlineLvl w:val="1"/>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eastAsia="仿宋_GB2312"/>
          <w:color w:val="auto"/>
          <w:sz w:val="32"/>
          <w:szCs w:val="32"/>
        </w:rPr>
      </w:pPr>
      <w:r>
        <w:rPr>
          <w:rFonts w:hint="eastAsia" w:ascii="仿宋_GB2312" w:hAnsi="仿宋_GB2312" w:eastAsia="仿宋_GB2312" w:cs="仿宋_GB2312"/>
          <w:color w:val="auto"/>
          <w:sz w:val="32"/>
          <w:szCs w:val="32"/>
          <w:lang w:val="en-US" w:eastAsia="zh-CN"/>
        </w:rPr>
        <w:t>依托国家历史文化名城，</w:t>
      </w:r>
      <w:r>
        <w:rPr>
          <w:rFonts w:hint="eastAsia" w:ascii="仿宋_GB2312" w:hAnsi="仿宋_GB2312" w:eastAsia="仿宋_GB2312" w:cs="仿宋_GB2312"/>
          <w:color w:val="auto"/>
          <w:sz w:val="32"/>
          <w:szCs w:val="32"/>
        </w:rPr>
        <w:t>推进城市生态修复、功能完善，</w:t>
      </w:r>
      <w:r>
        <w:rPr>
          <w:rFonts w:hint="eastAsia" w:ascii="仿宋_GB2312" w:eastAsia="仿宋_GB2312"/>
          <w:color w:val="auto"/>
          <w:sz w:val="32"/>
          <w:szCs w:val="32"/>
        </w:rPr>
        <w:t>提升城市综合服务功能，打造宜居宜业宜游宜养高品质生活，</w:t>
      </w:r>
      <w:r>
        <w:rPr>
          <w:rFonts w:hint="eastAsia" w:ascii="仿宋_GB2312" w:hAnsi="仿宋_GB2312" w:eastAsia="仿宋_GB2312" w:cs="仿宋_GB2312"/>
          <w:color w:val="auto"/>
          <w:sz w:val="32"/>
          <w:szCs w:val="32"/>
        </w:rPr>
        <w:t>着力把</w:t>
      </w:r>
      <w:r>
        <w:rPr>
          <w:rFonts w:hint="eastAsia" w:ascii="仿宋_GB2312" w:hAnsi="仿宋_GB2312" w:eastAsia="仿宋_GB2312" w:cs="仿宋_GB2312"/>
          <w:b/>
          <w:bCs/>
          <w:color w:val="auto"/>
          <w:sz w:val="32"/>
          <w:szCs w:val="32"/>
        </w:rPr>
        <w:t>县城</w:t>
      </w:r>
      <w:r>
        <w:rPr>
          <w:rFonts w:hint="eastAsia" w:ascii="仿宋_GB2312" w:hAnsi="仿宋_GB2312" w:eastAsia="仿宋_GB2312" w:cs="仿宋_GB2312"/>
          <w:color w:val="auto"/>
          <w:sz w:val="32"/>
          <w:szCs w:val="32"/>
        </w:rPr>
        <w:t>建成县域现代化的主体；以伏岭“徽州味·道”、上庄“雕刻时光”特色小镇建设为重点，带动“两翼”发展。</w:t>
      </w:r>
      <w:r>
        <w:rPr>
          <w:rFonts w:hint="eastAsia" w:ascii="仿宋_GB2312" w:hAnsi="仿宋_GB2312" w:eastAsia="仿宋_GB2312" w:cs="仿宋_GB2312"/>
          <w:b/>
          <w:bCs/>
          <w:color w:val="auto"/>
          <w:sz w:val="32"/>
          <w:szCs w:val="32"/>
          <w:lang w:val="en-US" w:eastAsia="zh-CN"/>
        </w:rPr>
        <w:t>南</w:t>
      </w:r>
      <w:r>
        <w:rPr>
          <w:rFonts w:hint="eastAsia" w:ascii="仿宋_GB2312" w:hAnsi="仿宋_GB2312" w:eastAsia="仿宋_GB2312" w:cs="仿宋_GB2312"/>
          <w:b/>
          <w:bCs/>
          <w:color w:val="auto"/>
          <w:sz w:val="32"/>
          <w:szCs w:val="32"/>
        </w:rPr>
        <w:t>翼</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岭南）</w:t>
      </w:r>
      <w:r>
        <w:rPr>
          <w:rFonts w:hint="eastAsia" w:ascii="仿宋_GB2312" w:hAnsi="仿宋_GB2312" w:eastAsia="仿宋_GB2312" w:cs="仿宋_GB2312"/>
          <w:color w:val="auto"/>
          <w:sz w:val="32"/>
          <w:szCs w:val="32"/>
        </w:rPr>
        <w:t>以伏岭为核心、登源河和S346为纽带，整合资金，加大投入，全力支持徽州味·道特色小镇建设，加快推进徽杭古道景区整合提升和皖浙天路开发;谋划实施抽水蓄能电站景区和二期工程，串接岭南瀛洲、家朋、荆州等乡镇发展，重点培育新能源、生态观光、文化旅游、体育旅游等产业。</w:t>
      </w:r>
      <w:r>
        <w:rPr>
          <w:rFonts w:hint="eastAsia" w:ascii="仿宋_GB2312" w:hAnsi="仿宋_GB2312" w:eastAsia="仿宋_GB2312" w:cs="仿宋_GB2312"/>
          <w:b/>
          <w:bCs/>
          <w:color w:val="auto"/>
          <w:sz w:val="32"/>
          <w:szCs w:val="32"/>
          <w:lang w:val="en-US" w:eastAsia="zh-CN"/>
        </w:rPr>
        <w:t>北</w:t>
      </w:r>
      <w:r>
        <w:rPr>
          <w:rFonts w:hint="eastAsia" w:ascii="仿宋_GB2312" w:hAnsi="仿宋_GB2312" w:eastAsia="仿宋_GB2312" w:cs="仿宋_GB2312"/>
          <w:b/>
          <w:bCs/>
          <w:color w:val="auto"/>
          <w:sz w:val="32"/>
          <w:szCs w:val="32"/>
        </w:rPr>
        <w:t>翼</w:t>
      </w:r>
      <w:r>
        <w:rPr>
          <w:rFonts w:hint="eastAsia" w:ascii="仿宋_GB2312" w:hAnsi="仿宋_GB2312" w:eastAsia="仿宋_GB2312" w:cs="仿宋_GB2312"/>
          <w:b/>
          <w:bCs/>
          <w:color w:val="auto"/>
          <w:sz w:val="32"/>
          <w:szCs w:val="32"/>
          <w:lang w:val="en-US" w:eastAsia="zh-CN"/>
        </w:rPr>
        <w:t>(岭北)</w:t>
      </w:r>
      <w:r>
        <w:rPr>
          <w:rFonts w:hint="eastAsia" w:ascii="仿宋_GB2312" w:hAnsi="仿宋_GB2312" w:eastAsia="仿宋_GB2312" w:cs="仿宋_GB2312"/>
          <w:color w:val="auto"/>
          <w:sz w:val="32"/>
          <w:szCs w:val="32"/>
        </w:rPr>
        <w:t>以上庄为核心、绩谭旅游快速通道和S207为纽带，加快上庄景区提升和虎山头徽岭旅游度假区建设，确保雕刻时光小镇影响力保持全省先进行列,带动岭北长安等乡镇发展，重点培育文化创意、休闲度假、乡村高端民宿、养生养老、绿色农产品等产业。加快推动华阳健康食品、瀛洲“徽商故里”、家朋“摄影小镇”等特色小镇建设，支持扬溪、板桥头、金沙等生态农业综合型特色乡镇建设，推进临溪镇扩权强镇试点工作，依托县经济开发区加快发展新型工业镇。</w:t>
      </w:r>
      <w:r>
        <w:rPr>
          <w:rFonts w:hint="eastAsia" w:ascii="仿宋_GB2312" w:eastAsia="仿宋_GB2312"/>
          <w:color w:val="auto"/>
          <w:sz w:val="32"/>
          <w:szCs w:val="32"/>
        </w:rPr>
        <w:t>结合国土空间规划，编制城区及各乡镇城镇土地征收成片开发方案，统筹安排商业、居住、文旅、工业、康养等具备开发性质的项目实施计划。</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textAlignment w:val="auto"/>
        <w:outlineLvl w:val="9"/>
      </w:pPr>
    </w:p>
    <w:p>
      <w:pPr>
        <w:pStyle w:val="4"/>
        <w:pageBreakBefore w:val="0"/>
        <w:widowControl w:val="0"/>
        <w:kinsoku/>
        <w:wordWrap/>
        <w:overflowPunct/>
        <w:topLinePunct w:val="0"/>
        <w:autoSpaceDE/>
        <w:autoSpaceDN/>
        <w:bidi w:val="0"/>
        <w:adjustRightInd/>
        <w:snapToGrid/>
        <w:spacing w:before="0" w:after="0" w:line="540" w:lineRule="exact"/>
        <w:jc w:val="center"/>
        <w:textAlignment w:val="auto"/>
        <w:outlineLvl w:val="1"/>
        <w:rPr>
          <w:rFonts w:ascii="仿宋_GB2312" w:hAnsi="楷体" w:eastAsia="仿宋_GB2312"/>
          <w:color w:val="auto"/>
          <w:szCs w:val="30"/>
        </w:rPr>
      </w:pPr>
      <w:bookmarkStart w:id="294" w:name="_Toc8059"/>
      <w:bookmarkStart w:id="295" w:name="_Toc10697"/>
      <w:bookmarkStart w:id="296" w:name="_Toc28466"/>
      <w:bookmarkStart w:id="297" w:name="_Toc26598_WPSOffice_Level2"/>
      <w:r>
        <w:rPr>
          <w:rFonts w:hint="eastAsia" w:ascii="仿宋_GB2312" w:hAnsi="楷体" w:eastAsia="仿宋_GB2312"/>
          <w:color w:val="auto"/>
          <w:szCs w:val="30"/>
        </w:rPr>
        <w:t xml:space="preserve">第二节  </w:t>
      </w:r>
      <w:bookmarkEnd w:id="294"/>
      <w:bookmarkStart w:id="298" w:name="_Toc30626"/>
      <w:r>
        <w:rPr>
          <w:rFonts w:hint="eastAsia" w:ascii="仿宋_GB2312" w:hAnsi="楷体" w:eastAsia="仿宋_GB2312"/>
          <w:color w:val="auto"/>
          <w:szCs w:val="30"/>
        </w:rPr>
        <w:t>提升县城能级水平和辐射功能</w:t>
      </w:r>
      <w:bookmarkEnd w:id="295"/>
      <w:bookmarkEnd w:id="296"/>
      <w:bookmarkEnd w:id="297"/>
      <w:bookmarkEnd w:id="298"/>
    </w:p>
    <w:p>
      <w:pPr>
        <w:keepNext w:val="0"/>
        <w:keepLines w:val="0"/>
        <w:pageBreakBefore w:val="0"/>
        <w:widowControl w:val="0"/>
        <w:kinsoku/>
        <w:wordWrap/>
        <w:overflowPunct/>
        <w:topLinePunct w:val="0"/>
        <w:autoSpaceDE/>
        <w:autoSpaceDN/>
        <w:bidi w:val="0"/>
        <w:adjustRightInd/>
        <w:snapToGrid/>
        <w:spacing w:line="400" w:lineRule="exact"/>
        <w:ind w:firstLine="800" w:firstLineChars="250"/>
        <w:jc w:val="center"/>
        <w:textAlignment w:val="auto"/>
        <w:outlineLvl w:val="1"/>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_GB2312" w:eastAsia="仿宋_GB2312" w:cs="仿宋_GB2312"/>
          <w:color w:val="auto"/>
          <w:spacing w:val="-2"/>
          <w:sz w:val="32"/>
          <w:szCs w:val="32"/>
        </w:rPr>
      </w:pPr>
      <w:r>
        <w:rPr>
          <w:rFonts w:hint="eastAsia" w:ascii="仿宋_GB2312" w:hAnsi="仿宋_GB2312" w:eastAsia="仿宋_GB2312" w:cs="仿宋_GB2312"/>
          <w:color w:val="auto"/>
          <w:sz w:val="32"/>
          <w:szCs w:val="32"/>
        </w:rPr>
        <w:t>围绕“保障安全、完善功能、丰富内涵、提升品质、彰显特色”，着力建设美丽主城区，深入推进城市更新，努力让城市更健康、更安全、更宜居。加快供水基础设施项目建设，提升城区污水、垃圾处理能力，扎实开展城市内涝防范治理，打通城区过境交通外环线，保障城市安全。突出功能定位，推动鄣山路至临溪工业园、徽山大道以西机械制造、健康食品医药等产业发展，高铁高速以北城西教育板块，吴家山、扬之南路与河滨路宜居舒适住宅生活，锦屏路至祥云路现代服务业城市四大片区建设。规划建设体育公园、会山公园，增加文化娱乐场所设施，新建农产品批发市场，着力补齐城市功能短板。坚持为城市立“魂”，加大老城区整治力度，打通古城旅游通道，推动古城核心区景点连线成片，加快古城文化旅游发展，丰富城市内涵。加强城区水生态环境综合治理，实施城区补水工程，恢复古城水系，保持山水格局，延续历史文脉，打造宜居宜业宜游、特色鲜明的山水文化之城，提升城市品质。巩固省级文明城市、国家卫生县城创建成果，完善创建长效机制，提升城市精细化管理水平。</w:t>
      </w:r>
      <w:r>
        <w:rPr>
          <w:rFonts w:hint="eastAsia" w:ascii="仿宋_GB2312" w:hAnsi="仿宋_GB2312" w:eastAsia="仿宋_GB2312" w:cs="仿宋_GB2312"/>
          <w:color w:val="auto"/>
          <w:spacing w:val="-2"/>
          <w:sz w:val="32"/>
          <w:szCs w:val="32"/>
        </w:rPr>
        <w:t>推进“城市大脑”建设，以特色场景应用为重点，利用人工智能、大数据等关键技术，加快数据资源的归集、治理、共享，实现跨部门系统互联互通和业务协同，全面赋能城市治理、产业发展和公共服务提升。</w:t>
      </w:r>
    </w:p>
    <w:p>
      <w:pPr>
        <w:keepNext w:val="0"/>
        <w:keepLines w:val="0"/>
        <w:pageBreakBefore w:val="0"/>
        <w:widowControl w:val="0"/>
        <w:kinsoku/>
        <w:wordWrap/>
        <w:overflowPunct/>
        <w:topLinePunct w:val="0"/>
        <w:autoSpaceDE/>
        <w:autoSpaceDN/>
        <w:bidi w:val="0"/>
        <w:adjustRightInd/>
        <w:snapToGrid/>
        <w:spacing w:beforeLines="50" w:afterLines="50" w:line="240" w:lineRule="exact"/>
        <w:ind w:firstLine="632" w:firstLineChars="200"/>
        <w:textAlignment w:val="auto"/>
        <w:outlineLvl w:val="1"/>
        <w:rPr>
          <w:rFonts w:ascii="仿宋_GB2312" w:hAnsi="仿宋_GB2312" w:eastAsia="仿宋_GB2312" w:cs="仿宋_GB2312"/>
          <w:color w:val="auto"/>
          <w:spacing w:val="-2"/>
          <w:sz w:val="32"/>
          <w:szCs w:val="32"/>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1020"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default" w:ascii="仿宋_GB2312" w:hAnsi="仿宋_GB2312" w:eastAsia="仿宋_GB2312" w:cs="仿宋_GB2312"/>
                <w:color w:val="auto"/>
                <w:kern w:val="0"/>
                <w:sz w:val="28"/>
                <w:szCs w:val="28"/>
                <w:lang w:val="en-US"/>
              </w:rPr>
            </w:pPr>
            <w:r>
              <w:rPr>
                <w:rFonts w:hint="eastAsia" w:ascii="仿宋_GB2312" w:hAnsi="仿宋_GB2312" w:eastAsia="仿宋_GB2312" w:cs="仿宋_GB2312"/>
                <w:b/>
                <w:color w:val="auto"/>
                <w:sz w:val="28"/>
                <w:szCs w:val="28"/>
              </w:rPr>
              <w:t>专栏1</w:t>
            </w:r>
            <w:r>
              <w:rPr>
                <w:rFonts w:hint="eastAsia" w:ascii="仿宋_GB2312" w:hAnsi="仿宋_GB2312" w:eastAsia="仿宋_GB2312" w:cs="仿宋_GB2312"/>
                <w:b/>
                <w:color w:val="auto"/>
                <w:sz w:val="28"/>
                <w:szCs w:val="28"/>
                <w:lang w:val="en-US" w:eastAsia="zh-CN"/>
              </w:rPr>
              <w:t>7  城市品牌建设</w:t>
            </w:r>
          </w:p>
        </w:tc>
      </w:tr>
      <w:tr>
        <w:tblPrEx>
          <w:tblCellMar>
            <w:top w:w="0" w:type="dxa"/>
            <w:left w:w="108" w:type="dxa"/>
            <w:bottom w:w="0" w:type="dxa"/>
            <w:right w:w="108" w:type="dxa"/>
          </w:tblCellMar>
        </w:tblPrEx>
        <w:trPr>
          <w:trHeight w:val="7418"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4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争创全国文明城市：</w:t>
            </w:r>
            <w:r>
              <w:rPr>
                <w:rFonts w:hint="eastAsia" w:ascii="仿宋_GB2312" w:hAnsi="仿宋_GB2312" w:eastAsia="仿宋_GB2312" w:cs="仿宋_GB2312"/>
                <w:color w:val="auto"/>
                <w:sz w:val="28"/>
                <w:szCs w:val="28"/>
              </w:rPr>
              <w:t>在</w:t>
            </w:r>
            <w:r>
              <w:rPr>
                <w:rFonts w:hint="eastAsia" w:ascii="仿宋_GB2312" w:hAnsi="仿宋_GB2312" w:eastAsia="仿宋_GB2312" w:cs="仿宋_GB2312"/>
                <w:color w:val="auto"/>
                <w:sz w:val="28"/>
                <w:szCs w:val="28"/>
                <w:lang w:val="en-US" w:eastAsia="zh-CN"/>
              </w:rPr>
              <w:t>巩固</w:t>
            </w:r>
            <w:r>
              <w:rPr>
                <w:rFonts w:hint="eastAsia" w:ascii="仿宋_GB2312" w:hAnsi="仿宋_GB2312" w:eastAsia="仿宋_GB2312" w:cs="仿宋_GB2312"/>
                <w:color w:val="auto"/>
                <w:sz w:val="28"/>
                <w:szCs w:val="28"/>
              </w:rPr>
              <w:t>省级文明示范县成果基础上，围绕政务环境、法治环境、市场环境、人文环境、生活环境、生态环境、创建活动等七个方面补缺补差，加强领导，制定方案，落实责任，加大投入，</w:t>
            </w:r>
            <w:r>
              <w:rPr>
                <w:rFonts w:hint="eastAsia" w:ascii="仿宋_GB2312" w:hAnsi="仿宋_GB2312" w:eastAsia="仿宋_GB2312" w:cs="仿宋_GB2312"/>
                <w:color w:val="auto"/>
                <w:sz w:val="28"/>
                <w:szCs w:val="28"/>
                <w:lang w:val="en-US" w:eastAsia="zh-CN"/>
              </w:rPr>
              <w:t>全面提升城市品质和社会文明程度</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val="0"/>
              <w:autoSpaceDN w:val="0"/>
              <w:bidi w:val="0"/>
              <w:adjustRightInd w:val="0"/>
              <w:snapToGrid/>
              <w:spacing w:before="156" w:line="54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争创国家</w:t>
            </w:r>
            <w:r>
              <w:rPr>
                <w:rFonts w:hint="eastAsia" w:ascii="仿宋_GB2312" w:hAnsi="仿宋_GB2312" w:eastAsia="仿宋_GB2312" w:cs="仿宋_GB2312"/>
                <w:b/>
                <w:color w:val="auto"/>
                <w:sz w:val="28"/>
                <w:szCs w:val="28"/>
                <w:lang w:eastAsia="zh-CN"/>
              </w:rPr>
              <w:t>“</w:t>
            </w:r>
            <w:r>
              <w:rPr>
                <w:rFonts w:hint="eastAsia" w:ascii="仿宋_GB2312" w:hAnsi="仿宋_GB2312" w:eastAsia="仿宋_GB2312" w:cs="仿宋_GB2312"/>
                <w:b/>
                <w:color w:val="auto"/>
                <w:sz w:val="28"/>
                <w:szCs w:val="28"/>
                <w:lang w:val="en-US" w:eastAsia="zh-CN"/>
              </w:rPr>
              <w:t>绿水青山就是金山银山”</w:t>
            </w:r>
            <w:r>
              <w:rPr>
                <w:rFonts w:hint="eastAsia" w:ascii="仿宋_GB2312" w:hAnsi="仿宋_GB2312" w:eastAsia="仿宋_GB2312" w:cs="仿宋_GB2312"/>
                <w:b/>
                <w:color w:val="auto"/>
                <w:sz w:val="28"/>
                <w:szCs w:val="28"/>
              </w:rPr>
              <w:t>实践创新基地：</w:t>
            </w:r>
            <w:r>
              <w:rPr>
                <w:rFonts w:hint="eastAsia" w:ascii="仿宋_GB2312" w:hAnsi="仿宋_GB2312" w:eastAsia="仿宋_GB2312" w:cs="仿宋_GB2312"/>
                <w:color w:val="auto"/>
                <w:sz w:val="28"/>
                <w:szCs w:val="28"/>
              </w:rPr>
              <w:t>拓宽“两山”转化路径，壮大</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金山银山</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；提升生态产品供给水平和保障能力，呵护绿水青山</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创新生态价值实现体制机制，量化绿水青山</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打造特色绿色品牌，共享</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金山银山</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val="0"/>
              <w:autoSpaceDN w:val="0"/>
              <w:bidi w:val="0"/>
              <w:adjustRightInd w:val="0"/>
              <w:snapToGrid/>
              <w:spacing w:before="156" w:line="54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争创国家全域旅游示范区：</w:t>
            </w:r>
            <w:r>
              <w:rPr>
                <w:rFonts w:hint="eastAsia" w:ascii="仿宋_GB2312" w:hAnsi="仿宋_GB2312" w:eastAsia="仿宋_GB2312" w:cs="仿宋_GB2312"/>
                <w:color w:val="auto"/>
                <w:sz w:val="28"/>
                <w:szCs w:val="28"/>
              </w:rPr>
              <w:t>以旅游规划为引领,以旅游供给侧改革为抓手，以“旅游+”产业融合为目标,以游客满意为标准,以旅游综合监管体系为平台,以构建共建共享机制为动力，落实责任,强化措施,实现“旅游发展全域化、旅游供给品质化、旅游治理规范化、旅游效益最大化”的目标。</w:t>
            </w:r>
          </w:p>
        </w:tc>
      </w:tr>
    </w:tbl>
    <w:p>
      <w:pPr>
        <w:outlineLvl w:val="1"/>
        <w:rPr>
          <w:color w:val="auto"/>
        </w:rPr>
      </w:pPr>
    </w:p>
    <w:p>
      <w:pPr>
        <w:outlineLvl w:val="1"/>
        <w:rPr>
          <w:color w:val="auto"/>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30"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专栏1</w:t>
            </w:r>
            <w:r>
              <w:rPr>
                <w:rFonts w:hint="eastAsia" w:ascii="仿宋_GB2312" w:hAnsi="仿宋_GB2312" w:eastAsia="仿宋_GB2312" w:cs="仿宋_GB2312"/>
                <w:b/>
                <w:color w:val="auto"/>
                <w:sz w:val="28"/>
                <w:szCs w:val="28"/>
                <w:lang w:val="en-US" w:eastAsia="zh-CN"/>
              </w:rPr>
              <w:t>8</w:t>
            </w:r>
            <w:r>
              <w:rPr>
                <w:rFonts w:hint="eastAsia" w:ascii="仿宋_GB2312" w:hAnsi="仿宋_GB2312" w:eastAsia="仿宋_GB2312" w:cs="仿宋_GB2312"/>
                <w:b/>
                <w:color w:val="auto"/>
                <w:sz w:val="28"/>
                <w:szCs w:val="28"/>
              </w:rPr>
              <w:t xml:space="preserve"> 城市路网建设</w:t>
            </w:r>
            <w:r>
              <w:rPr>
                <w:rFonts w:hint="eastAsia" w:ascii="仿宋_GB2312" w:hAnsi="仿宋_GB2312" w:eastAsia="仿宋_GB2312" w:cs="仿宋_GB2312"/>
                <w:b/>
                <w:color w:val="auto"/>
                <w:sz w:val="28"/>
                <w:szCs w:val="28"/>
                <w:lang w:eastAsia="zh-CN"/>
              </w:rPr>
              <w:t>畅</w:t>
            </w:r>
            <w:r>
              <w:rPr>
                <w:rFonts w:hint="eastAsia" w:ascii="仿宋_GB2312" w:hAnsi="仿宋_GB2312" w:eastAsia="仿宋_GB2312" w:cs="仿宋_GB2312"/>
                <w:b/>
                <w:color w:val="auto"/>
                <w:sz w:val="28"/>
                <w:szCs w:val="28"/>
              </w:rPr>
              <w:t>通工程</w:t>
            </w:r>
          </w:p>
        </w:tc>
      </w:tr>
      <w:tr>
        <w:tblPrEx>
          <w:tblCellMar>
            <w:top w:w="0" w:type="dxa"/>
            <w:left w:w="108" w:type="dxa"/>
            <w:bottom w:w="0" w:type="dxa"/>
            <w:right w:w="108" w:type="dxa"/>
          </w:tblCellMar>
        </w:tblPrEx>
        <w:trPr>
          <w:trHeight w:val="2981"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60" w:lineRule="exact"/>
              <w:ind w:firstLine="560" w:firstLineChars="200"/>
              <w:textAlignment w:val="auto"/>
              <w:outlineLvl w:val="1"/>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color w:val="auto"/>
                <w:sz w:val="28"/>
                <w:szCs w:val="28"/>
              </w:rPr>
              <w:t>西环线二期建设工程，祥云路、睿阳路和纬一路二期工程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新建道路强化老城区与站前新区之间的联系，建设会山路、纬六路、</w:t>
            </w:r>
            <w:r>
              <w:rPr>
                <w:rFonts w:hint="eastAsia" w:ascii="仿宋_GB2312" w:hAnsi="仿宋_GB2312" w:eastAsia="仿宋_GB2312" w:cs="仿宋_GB2312"/>
                <w:color w:val="auto"/>
                <w:sz w:val="28"/>
                <w:szCs w:val="28"/>
                <w:lang w:eastAsia="zh-CN"/>
              </w:rPr>
              <w:t>中王北路</w:t>
            </w:r>
            <w:r>
              <w:rPr>
                <w:rFonts w:hint="eastAsia" w:ascii="仿宋_GB2312" w:hAnsi="仿宋_GB2312" w:eastAsia="仿宋_GB2312" w:cs="仿宋_GB2312"/>
                <w:color w:val="auto"/>
                <w:sz w:val="28"/>
                <w:szCs w:val="28"/>
              </w:rPr>
              <w:t>和望徽路等道路工程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打通河滨</w:t>
            </w:r>
            <w:r>
              <w:rPr>
                <w:rFonts w:hint="eastAsia" w:ascii="仿宋_GB2312" w:hAnsi="仿宋_GB2312" w:eastAsia="仿宋_GB2312" w:cs="仿宋_GB2312"/>
                <w:color w:val="auto"/>
                <w:sz w:val="28"/>
                <w:szCs w:val="28"/>
                <w:lang w:eastAsia="zh-CN"/>
              </w:rPr>
              <w:t>南</w:t>
            </w:r>
            <w:r>
              <w:rPr>
                <w:rFonts w:hint="eastAsia" w:ascii="仿宋_GB2312" w:hAnsi="仿宋_GB2312" w:eastAsia="仿宋_GB2312" w:cs="仿宋_GB2312"/>
                <w:color w:val="auto"/>
                <w:sz w:val="28"/>
                <w:szCs w:val="28"/>
              </w:rPr>
              <w:t>路、徽溪北路以及徽溪西路</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完善松木塘路、经五路、经六路、经七路</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经八路</w:t>
            </w:r>
            <w:r>
              <w:rPr>
                <w:rFonts w:hint="eastAsia" w:ascii="仿宋_GB2312" w:hAnsi="仿宋_GB2312" w:eastAsia="仿宋_GB2312" w:cs="仿宋_GB2312"/>
                <w:color w:val="auto"/>
                <w:sz w:val="28"/>
                <w:szCs w:val="28"/>
                <w:lang w:eastAsia="zh-CN"/>
              </w:rPr>
              <w:t>建设。</w:t>
            </w:r>
          </w:p>
        </w:tc>
      </w:tr>
    </w:tbl>
    <w:p>
      <w:pPr>
        <w:outlineLvl w:val="1"/>
        <w:rPr>
          <w:color w:val="auto"/>
        </w:rPr>
      </w:pPr>
    </w:p>
    <w:p>
      <w:pPr>
        <w:outlineLvl w:val="1"/>
        <w:rPr>
          <w:color w:val="auto"/>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14"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ascii="宋体" w:hAnsi="Calibri" w:eastAsia="宋体" w:cs="宋体"/>
                <w:color w:val="auto"/>
                <w:kern w:val="0"/>
                <w:sz w:val="24"/>
                <w:lang w:val="zh-CN"/>
              </w:rPr>
            </w:pPr>
            <w:r>
              <w:rPr>
                <w:rFonts w:hint="eastAsia" w:ascii="仿宋_GB2312" w:hAnsi="仿宋_GB2312" w:eastAsia="仿宋_GB2312" w:cs="仿宋_GB2312"/>
                <w:b/>
                <w:color w:val="auto"/>
                <w:sz w:val="28"/>
                <w:szCs w:val="28"/>
              </w:rPr>
              <w:t>专栏1</w:t>
            </w:r>
            <w:r>
              <w:rPr>
                <w:rFonts w:hint="eastAsia" w:ascii="仿宋_GB2312" w:hAnsi="仿宋_GB2312" w:eastAsia="仿宋_GB2312" w:cs="仿宋_GB2312"/>
                <w:b/>
                <w:color w:val="auto"/>
                <w:sz w:val="28"/>
                <w:szCs w:val="28"/>
                <w:lang w:val="en-US" w:eastAsia="zh-CN"/>
              </w:rPr>
              <w:t>9</w:t>
            </w:r>
            <w:r>
              <w:rPr>
                <w:rFonts w:hint="eastAsia" w:ascii="仿宋_GB2312" w:hAnsi="仿宋_GB2312" w:eastAsia="仿宋_GB2312" w:cs="仿宋_GB2312"/>
                <w:b/>
                <w:color w:val="auto"/>
                <w:sz w:val="28"/>
                <w:szCs w:val="28"/>
              </w:rPr>
              <w:t xml:space="preserve">  城区绿地系统布局</w:t>
            </w:r>
          </w:p>
        </w:tc>
      </w:tr>
      <w:tr>
        <w:tblPrEx>
          <w:tblCellMar>
            <w:top w:w="0" w:type="dxa"/>
            <w:left w:w="108" w:type="dxa"/>
            <w:bottom w:w="0" w:type="dxa"/>
            <w:right w:w="108" w:type="dxa"/>
          </w:tblCellMar>
        </w:tblPrEx>
        <w:trPr>
          <w:trHeight w:val="3421"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60" w:lineRule="exact"/>
              <w:ind w:firstLine="560" w:firstLineChars="200"/>
              <w:textAlignment w:val="auto"/>
              <w:outlineLvl w:val="1"/>
              <w:rPr>
                <w:rFonts w:ascii="仿宋" w:hAnsi="仿宋" w:eastAsia="仿宋" w:cs="Times New Roman"/>
                <w:b/>
                <w:color w:val="auto"/>
                <w:sz w:val="24"/>
                <w:szCs w:val="28"/>
              </w:rPr>
            </w:pPr>
            <w:r>
              <w:rPr>
                <w:rFonts w:hint="eastAsia" w:ascii="仿宋_GB2312" w:hAnsi="仿宋_GB2312" w:eastAsia="仿宋_GB2312" w:cs="仿宋_GB2312"/>
                <w:color w:val="auto"/>
                <w:sz w:val="28"/>
                <w:szCs w:val="28"/>
              </w:rPr>
              <w:t>遵循自然山水格局，依托翚岭生态片区、东山-梓潼山-灵山生态片区，以及扬之河、翚溪河、朗坑河、洪川河等河流形成的生态廊道，并与各级公园绿地形成“两带两廊”（朗坑河滨水绿带、翚溪河滨水绿带，扬之河滨水生态景观走廊、皖赣铁路人文景观走廊）的山水融合、廊道贯通、多点均布的片网状绿地布局结构。</w:t>
            </w:r>
          </w:p>
        </w:tc>
      </w:tr>
    </w:tbl>
    <w:p>
      <w:pPr>
        <w:snapToGrid w:val="0"/>
        <w:spacing w:line="600" w:lineRule="exact"/>
        <w:outlineLvl w:val="1"/>
        <w:rPr>
          <w:rFonts w:eastAsia="仿宋_GB2312" w:cs="仿宋_GB2312"/>
          <w:color w:val="auto"/>
          <w:sz w:val="32"/>
          <w:szCs w:val="32"/>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1004"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ind w:firstLine="482"/>
              <w:jc w:val="center"/>
              <w:outlineLvl w:val="1"/>
              <w:rPr>
                <w:rFonts w:ascii="宋体" w:hAnsi="Calibri" w:eastAsia="宋体" w:cs="宋体"/>
                <w:color w:val="auto"/>
                <w:kern w:val="0"/>
                <w:sz w:val="22"/>
                <w:lang w:val="zh-CN"/>
              </w:rPr>
            </w:pPr>
            <w:r>
              <w:rPr>
                <w:rFonts w:hint="eastAsia" w:ascii="仿宋_GB2312" w:hAnsi="仿宋_GB2312" w:eastAsia="仿宋_GB2312" w:cs="仿宋_GB2312"/>
                <w:b/>
                <w:color w:val="auto"/>
                <w:sz w:val="28"/>
                <w:szCs w:val="28"/>
              </w:rPr>
              <w:t>专栏</w:t>
            </w:r>
            <w:r>
              <w:rPr>
                <w:rFonts w:hint="eastAsia" w:ascii="仿宋_GB2312" w:hAnsi="仿宋_GB2312" w:eastAsia="仿宋_GB2312" w:cs="仿宋_GB2312"/>
                <w:b/>
                <w:color w:val="auto"/>
                <w:sz w:val="28"/>
                <w:szCs w:val="28"/>
                <w:lang w:val="en-US" w:eastAsia="zh-CN"/>
              </w:rPr>
              <w:t>20</w:t>
            </w:r>
            <w:r>
              <w:rPr>
                <w:rFonts w:hint="eastAsia" w:ascii="仿宋_GB2312" w:hAnsi="仿宋_GB2312" w:eastAsia="仿宋_GB2312" w:cs="仿宋_GB2312"/>
                <w:b/>
                <w:color w:val="auto"/>
                <w:sz w:val="28"/>
                <w:szCs w:val="28"/>
              </w:rPr>
              <w:t xml:space="preserve"> 城镇建设重点项目</w:t>
            </w:r>
          </w:p>
        </w:tc>
      </w:tr>
      <w:tr>
        <w:tblPrEx>
          <w:tblCellMar>
            <w:top w:w="0" w:type="dxa"/>
            <w:left w:w="108" w:type="dxa"/>
            <w:bottom w:w="0" w:type="dxa"/>
            <w:right w:w="108" w:type="dxa"/>
          </w:tblCellMar>
        </w:tblPrEx>
        <w:trPr>
          <w:trHeight w:val="1"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60" w:lineRule="exact"/>
              <w:ind w:firstLine="562" w:firstLineChars="200"/>
              <w:textAlignment w:val="auto"/>
              <w:outlineLvl w:val="1"/>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市政道路：</w:t>
            </w:r>
            <w:r>
              <w:rPr>
                <w:rFonts w:hint="eastAsia" w:ascii="仿宋_GB2312" w:hAnsi="仿宋_GB2312" w:eastAsia="仿宋_GB2312" w:cs="仿宋_GB2312"/>
                <w:color w:val="auto"/>
                <w:sz w:val="28"/>
                <w:szCs w:val="28"/>
              </w:rPr>
              <w:t>西环线东延及配套路网项目、祥云北路及配套路网项目、经五路及配套路网项目、老城区道路改扩建项目、河滨路道路延伸项目、翚溪河东岸道路工程、扬之南路改扩建项目、望徽路下穿皖赣铁路及周边基础设施建设项目</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spacing w:before="156" w:line="560" w:lineRule="exact"/>
              <w:ind w:firstLine="562" w:firstLineChars="200"/>
              <w:textAlignment w:val="auto"/>
              <w:outlineLvl w:val="1"/>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排水防涝：</w:t>
            </w:r>
            <w:r>
              <w:rPr>
                <w:rFonts w:hint="eastAsia" w:ascii="仿宋_GB2312" w:hAnsi="仿宋_GB2312" w:eastAsia="仿宋_GB2312" w:cs="仿宋_GB2312"/>
                <w:color w:val="auto"/>
                <w:sz w:val="28"/>
                <w:szCs w:val="28"/>
              </w:rPr>
              <w:t>老城区雨污水等基础设施提升改造项目、城区排水管网修复与改造、城市内涝治理项目、生活污水厂二期扩建项目、登源河片区新建污水厂项目、东山片区排水整治工程、洪上塘埠头上片区排水防涝工程、睿阳路郎坑片区排水防涝工程、乳坑集坑片区排水防涝项目、城市基础设施智能化建设项目</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spacing w:before="156" w:line="560" w:lineRule="exact"/>
              <w:ind w:firstLine="562" w:firstLineChars="200"/>
              <w:textAlignment w:val="auto"/>
              <w:outlineLvl w:val="1"/>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城市品质提升：</w:t>
            </w:r>
            <w:r>
              <w:rPr>
                <w:rFonts w:hint="eastAsia" w:ascii="仿宋_GB2312" w:hAnsi="仿宋_GB2312" w:eastAsia="仿宋_GB2312" w:cs="仿宋_GB2312"/>
                <w:color w:val="auto"/>
                <w:sz w:val="28"/>
                <w:szCs w:val="28"/>
              </w:rPr>
              <w:t>国家历史文化名城保护利用项目、县城区水系连通工程、翚溪河、大宁渠、水关圳提质美化项目、绿色城市建设项目、绩溪县东山公园灵山公园健身休闲一体化旅游项目、西环线道路沿线森林公园建设、扬之河沿线绿化项目、城区绿化提优提质工程、县城区亮化改造提升项目、县城区停车场改造提升项目、步行街改造提升项目</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spacing w:before="156" w:line="560" w:lineRule="exact"/>
              <w:ind w:firstLine="562" w:firstLineChars="200"/>
              <w:textAlignment w:val="auto"/>
              <w:outlineLvl w:val="1"/>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b/>
                <w:bCs/>
                <w:color w:val="auto"/>
                <w:sz w:val="28"/>
                <w:szCs w:val="28"/>
                <w:lang w:eastAsia="zh-CN"/>
              </w:rPr>
              <w:t>民生设施：</w:t>
            </w:r>
            <w:r>
              <w:rPr>
                <w:rFonts w:hint="eastAsia" w:ascii="仿宋_GB2312" w:hAnsi="仿宋_GB2312" w:eastAsia="仿宋_GB2312" w:cs="仿宋_GB2312"/>
                <w:color w:val="auto"/>
                <w:sz w:val="28"/>
                <w:szCs w:val="28"/>
              </w:rPr>
              <w:t>供水基础设施建设项目、老城区人防新建项目、城区老旧小区外相关配套设施改造项目、铁路新村老旧小区改造项目、绩溪铁路物流集散中心项目、装配式建筑产业园项目、县城餐厨垃圾处理场项目、生活垃圾焚烧发电项目、日处理150吨生活垃圾项目、建筑垃圾综合处理项目、殡仪馆建设项目、农产品批发市场建设项目、供电工程变电站建设项目</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spacing w:before="156" w:line="600" w:lineRule="exact"/>
              <w:ind w:firstLine="562" w:firstLineChars="200"/>
              <w:textAlignment w:val="auto"/>
              <w:outlineLvl w:val="1"/>
              <w:rPr>
                <w:rFonts w:ascii="仿宋" w:hAnsi="仿宋" w:eastAsia="仿宋" w:cs="Times New Roman"/>
                <w:color w:val="auto"/>
                <w:sz w:val="24"/>
                <w:szCs w:val="28"/>
              </w:rPr>
            </w:pPr>
            <w:r>
              <w:rPr>
                <w:rFonts w:hint="eastAsia" w:ascii="仿宋_GB2312" w:hAnsi="仿宋_GB2312" w:eastAsia="仿宋_GB2312" w:cs="仿宋_GB2312"/>
                <w:b/>
                <w:bCs/>
                <w:color w:val="auto"/>
                <w:sz w:val="28"/>
                <w:szCs w:val="28"/>
                <w:lang w:eastAsia="zh-CN"/>
              </w:rPr>
              <w:t>集镇建设：</w:t>
            </w:r>
            <w:r>
              <w:rPr>
                <w:rFonts w:hint="eastAsia" w:ascii="仿宋_GB2312" w:hAnsi="仿宋_GB2312" w:eastAsia="仿宋_GB2312" w:cs="仿宋_GB2312"/>
                <w:color w:val="auto"/>
                <w:sz w:val="28"/>
                <w:szCs w:val="28"/>
              </w:rPr>
              <w:t>雕刻时光特色小镇项目、</w:t>
            </w:r>
            <w:r>
              <w:rPr>
                <w:rFonts w:hint="eastAsia" w:ascii="仿宋_GB2312" w:hAnsi="仿宋_GB2312" w:eastAsia="仿宋_GB2312" w:cs="仿宋_GB2312"/>
                <w:color w:val="auto"/>
                <w:sz w:val="28"/>
                <w:szCs w:val="28"/>
                <w:lang w:eastAsia="zh-CN"/>
              </w:rPr>
              <w:t>伏岭徽州味·道</w:t>
            </w:r>
            <w:r>
              <w:rPr>
                <w:rFonts w:hint="eastAsia" w:ascii="仿宋_GB2312" w:hAnsi="仿宋_GB2312" w:eastAsia="仿宋_GB2312" w:cs="仿宋_GB2312"/>
                <w:color w:val="auto"/>
                <w:sz w:val="28"/>
                <w:szCs w:val="28"/>
              </w:rPr>
              <w:t>特色小镇项目、徽商故里特色小镇项目、摄影小镇项目、健康食品小镇项目、乡镇应急避难场所建设项目、乡镇驻地区域服务中心项目、华阳镇社区综合服务设施项目、上庄镇镇区改造</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杨林小区）</w:t>
            </w:r>
            <w:r>
              <w:rPr>
                <w:rFonts w:hint="eastAsia" w:ascii="仿宋_GB2312" w:hAnsi="仿宋_GB2312" w:eastAsia="仿宋_GB2312" w:cs="仿宋_GB2312"/>
                <w:color w:val="auto"/>
                <w:sz w:val="28"/>
                <w:szCs w:val="28"/>
              </w:rPr>
              <w:t>项目</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传统村落集中连片保护利用项目等。</w:t>
            </w:r>
          </w:p>
        </w:tc>
      </w:tr>
    </w:tbl>
    <w:p>
      <w:pPr>
        <w:pStyle w:val="13"/>
        <w:spacing w:beforeAutospacing="0" w:afterAutospacing="0" w:line="360" w:lineRule="atLeast"/>
        <w:ind w:firstLine="0" w:firstLineChars="0"/>
        <w:outlineLvl w:val="1"/>
        <w:rPr>
          <w:rFonts w:ascii="仿宋_GB2312" w:hAnsi="仿宋_GB2312" w:eastAsia="仿宋_GB2312" w:cs="仿宋_GB2312"/>
          <w:color w:val="auto"/>
          <w:kern w:val="2"/>
          <w:sz w:val="32"/>
          <w:szCs w:val="32"/>
        </w:rPr>
      </w:pPr>
    </w:p>
    <w:p>
      <w:pPr>
        <w:pStyle w:val="4"/>
        <w:spacing w:before="0" w:after="0" w:line="240" w:lineRule="auto"/>
        <w:jc w:val="center"/>
        <w:outlineLvl w:val="1"/>
        <w:rPr>
          <w:rFonts w:ascii="仿宋_GB2312" w:hAnsi="楷体" w:eastAsia="仿宋_GB2312"/>
          <w:color w:val="auto"/>
          <w:szCs w:val="30"/>
        </w:rPr>
      </w:pPr>
      <w:bookmarkStart w:id="299" w:name="_Toc15352_WPSOffice_Level2"/>
      <w:bookmarkStart w:id="300" w:name="_Toc10622"/>
      <w:bookmarkStart w:id="301" w:name="_Toc4073"/>
      <w:bookmarkStart w:id="302" w:name="_Toc826"/>
      <w:r>
        <w:rPr>
          <w:rFonts w:hint="eastAsia" w:ascii="仿宋_GB2312" w:hAnsi="楷体" w:eastAsia="仿宋_GB2312"/>
          <w:color w:val="auto"/>
          <w:szCs w:val="30"/>
        </w:rPr>
        <w:t>第三节  构建区域性综合交通运输枢纽</w:t>
      </w:r>
      <w:bookmarkEnd w:id="299"/>
      <w:bookmarkEnd w:id="300"/>
      <w:bookmarkEnd w:id="301"/>
      <w:bookmarkEnd w:id="302"/>
    </w:p>
    <w:p>
      <w:pPr>
        <w:spacing w:line="240" w:lineRule="exact"/>
        <w:outlineLvl w:val="1"/>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
          <w:sz w:val="32"/>
          <w:szCs w:val="32"/>
        </w:rPr>
        <w:t>以建设皖东南区域交通枢纽为目标，建设大交通、谋划大发展，全面构建外通内联、快速通畅、绿色智慧、安全便捷的现代综合交通运输体系。统筹高速铁路、高速公路、航空等多种交通方式基础设施建设，强化与杭州、南京、合肥等都市圈对外联通通道建设，加速融入长三角区域一体化。建设快速通畅干线网、深度通达农村网，推进出行服务高效优质，促进对外运输通道、城际交通网、城乡交通网等多层次交通网的有机衔接。建成宣绩高铁，积极争取建</w:t>
      </w:r>
      <w:r>
        <w:rPr>
          <w:rFonts w:hint="eastAsia" w:ascii="仿宋_GB2312" w:hAnsi="仿宋_GB2312" w:eastAsia="仿宋_GB2312" w:cs="仿宋_GB2312"/>
          <w:color w:val="auto"/>
          <w:spacing w:val="-2"/>
          <w:sz w:val="32"/>
          <w:szCs w:val="32"/>
          <w:lang w:val="en-US" w:eastAsia="zh-CN"/>
        </w:rPr>
        <w:t>成</w:t>
      </w:r>
      <w:r>
        <w:rPr>
          <w:rFonts w:hint="eastAsia" w:ascii="仿宋_GB2312" w:hAnsi="仿宋_GB2312" w:eastAsia="仿宋_GB2312" w:cs="仿宋_GB2312"/>
          <w:color w:val="auto"/>
          <w:spacing w:val="-2"/>
          <w:sz w:val="32"/>
          <w:szCs w:val="32"/>
        </w:rPr>
        <w:t>杭临绩高铁，规划建设宁波—绩溪—武汉货运普铁绩溪段。推进芜黄徽杭高速连接线建设。加快发展通用航空，争取建成绩溪通用机场，加强与芜宣机场、黄山机场联络，谋划通用航空产业园。</w:t>
      </w:r>
      <w:r>
        <w:rPr>
          <w:rFonts w:hint="eastAsia" w:ascii="仿宋_GB2312" w:hAnsi="仿宋_GB2312" w:eastAsia="仿宋_GB2312" w:cs="仿宋_GB2312"/>
          <w:color w:val="auto"/>
          <w:sz w:val="32"/>
          <w:szCs w:val="32"/>
        </w:rPr>
        <w:t>建成绩谭快速通道，</w:t>
      </w:r>
      <w:r>
        <w:rPr>
          <w:rFonts w:hint="eastAsia" w:ascii="仿宋_GB2312" w:hAnsi="仿宋_GB2312" w:eastAsia="仿宋_GB2312" w:cs="仿宋_GB2312"/>
          <w:color w:val="auto"/>
          <w:sz w:val="32"/>
          <w:szCs w:val="32"/>
          <w:lang w:val="en-US" w:eastAsia="zh-CN"/>
        </w:rPr>
        <w:t>修建荆州隧道，</w:t>
      </w:r>
      <w:r>
        <w:rPr>
          <w:rFonts w:hint="eastAsia" w:ascii="仿宋_GB2312" w:hAnsi="仿宋_GB2312" w:eastAsia="仿宋_GB2312" w:cs="仿宋_GB2312"/>
          <w:color w:val="auto"/>
          <w:sz w:val="32"/>
          <w:szCs w:val="32"/>
        </w:rPr>
        <w:t>改造提升G330、S346荆州段等跨区域公路，</w:t>
      </w:r>
      <w:r>
        <w:rPr>
          <w:rFonts w:hint="eastAsia" w:ascii="仿宋_GB2312" w:hAnsi="仿宋_GB2312" w:eastAsia="仿宋_GB2312" w:cs="仿宋_GB2312"/>
          <w:color w:val="auto"/>
          <w:sz w:val="32"/>
          <w:szCs w:val="32"/>
          <w:lang w:val="en-US" w:eastAsia="zh-CN"/>
        </w:rPr>
        <w:t>实现质量互联互通。基本完成</w:t>
      </w:r>
      <w:r>
        <w:rPr>
          <w:rFonts w:hint="eastAsia" w:ascii="仿宋_GB2312" w:hAnsi="仿宋_GB2312" w:eastAsia="仿宋_GB2312" w:cs="仿宋_GB2312"/>
          <w:color w:val="auto"/>
          <w:sz w:val="32"/>
          <w:szCs w:val="32"/>
        </w:rPr>
        <w:t>城乡客运一体化</w:t>
      </w:r>
      <w:r>
        <w:rPr>
          <w:rFonts w:hint="eastAsia" w:ascii="仿宋_GB2312" w:hAnsi="仿宋_GB2312" w:eastAsia="仿宋_GB2312" w:cs="仿宋_GB2312"/>
          <w:color w:val="auto"/>
          <w:sz w:val="32"/>
          <w:szCs w:val="32"/>
          <w:lang w:val="en-US" w:eastAsia="zh-CN"/>
        </w:rPr>
        <w:t>公交改造</w:t>
      </w:r>
      <w:r>
        <w:rPr>
          <w:rFonts w:hint="eastAsia" w:ascii="仿宋_GB2312" w:hAnsi="仿宋_GB2312" w:eastAsia="仿宋_GB2312" w:cs="仿宋_GB2312"/>
          <w:color w:val="auto"/>
          <w:sz w:val="32"/>
          <w:szCs w:val="32"/>
        </w:rPr>
        <w:t>，加强城</w:t>
      </w:r>
      <w:r>
        <w:rPr>
          <w:rFonts w:hint="eastAsia" w:ascii="仿宋_GB2312" w:hAnsi="仿宋_GB2312" w:eastAsia="仿宋_GB2312" w:cs="仿宋_GB2312"/>
          <w:color w:val="auto"/>
          <w:sz w:val="32"/>
          <w:szCs w:val="32"/>
          <w:lang w:val="en-US" w:eastAsia="zh-CN"/>
        </w:rPr>
        <w:t>乡</w:t>
      </w:r>
      <w:r>
        <w:rPr>
          <w:rFonts w:hint="eastAsia" w:ascii="仿宋_GB2312" w:hAnsi="仿宋_GB2312" w:eastAsia="仿宋_GB2312" w:cs="仿宋_GB2312"/>
          <w:color w:val="auto"/>
          <w:sz w:val="32"/>
          <w:szCs w:val="32"/>
        </w:rPr>
        <w:t>公交场站建设，</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color w:val="auto"/>
          <w:sz w:val="32"/>
          <w:szCs w:val="32"/>
        </w:rPr>
        <w:t>推广新能源车辆。</w:t>
      </w:r>
    </w:p>
    <w:p>
      <w:pPr>
        <w:pStyle w:val="2"/>
        <w:keepNext w:val="0"/>
        <w:keepLines w:val="0"/>
        <w:pageBreakBefore w:val="0"/>
        <w:widowControl w:val="0"/>
        <w:kinsoku/>
        <w:wordWrap/>
        <w:overflowPunct/>
        <w:topLinePunct w:val="0"/>
        <w:autoSpaceDE w:val="0"/>
        <w:autoSpaceDN w:val="0"/>
        <w:bidi w:val="0"/>
        <w:adjustRightInd w:val="0"/>
        <w:snapToGrid/>
        <w:spacing w:line="240" w:lineRule="exact"/>
        <w:ind w:left="119"/>
        <w:textAlignment w:val="auto"/>
        <w:outlineLvl w:val="9"/>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855"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专栏2</w:t>
            </w:r>
            <w:r>
              <w:rPr>
                <w:rFonts w:hint="eastAsia" w:ascii="仿宋_GB2312" w:hAnsi="仿宋_GB2312" w:eastAsia="仿宋_GB2312" w:cs="仿宋_GB2312"/>
                <w:b/>
                <w:color w:val="auto"/>
                <w:sz w:val="28"/>
                <w:szCs w:val="28"/>
                <w:lang w:val="en-US" w:eastAsia="zh-CN"/>
              </w:rPr>
              <w:t>1</w:t>
            </w:r>
            <w:r>
              <w:rPr>
                <w:rFonts w:hint="eastAsia" w:ascii="仿宋_GB2312" w:hAnsi="仿宋_GB2312" w:eastAsia="仿宋_GB2312" w:cs="仿宋_GB2312"/>
                <w:b/>
                <w:color w:val="auto"/>
                <w:sz w:val="28"/>
                <w:szCs w:val="28"/>
              </w:rPr>
              <w:t xml:space="preserve"> 交通基础设施重点项目</w:t>
            </w:r>
          </w:p>
        </w:tc>
      </w:tr>
      <w:tr>
        <w:tblPrEx>
          <w:tblCellMar>
            <w:top w:w="0" w:type="dxa"/>
            <w:left w:w="108" w:type="dxa"/>
            <w:bottom w:w="0" w:type="dxa"/>
            <w:right w:w="108" w:type="dxa"/>
          </w:tblCellMar>
        </w:tblPrEx>
        <w:trPr>
          <w:trHeight w:val="3206"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0"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宣绩铁路、杭临绩高铁、芜黄与徽杭高速连接线绩溪段、宁波至绩溪至武汉铁路货运专线项目</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G330绩溪段升级改造、G233郎家溪至仁里段新建工程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S346龙川至</w:t>
            </w:r>
            <w:r>
              <w:rPr>
                <w:rFonts w:hint="eastAsia" w:ascii="仿宋_GB2312" w:hAnsi="仿宋_GB2312" w:eastAsia="仿宋_GB2312" w:cs="仿宋_GB2312"/>
                <w:color w:val="auto"/>
                <w:sz w:val="28"/>
                <w:szCs w:val="28"/>
                <w:lang w:val="en-US" w:eastAsia="zh-CN"/>
              </w:rPr>
              <w:t>伏岭</w:t>
            </w:r>
            <w:r>
              <w:rPr>
                <w:rFonts w:hint="eastAsia" w:ascii="仿宋_GB2312" w:hAnsi="仿宋_GB2312" w:eastAsia="仿宋_GB2312" w:cs="仿宋_GB2312"/>
                <w:color w:val="auto"/>
                <w:sz w:val="28"/>
                <w:szCs w:val="28"/>
              </w:rPr>
              <w:t>段改建工程、S346荆州段改</w:t>
            </w:r>
            <w:r>
              <w:rPr>
                <w:rFonts w:hint="eastAsia" w:ascii="仿宋_GB2312" w:hAnsi="仿宋_GB2312" w:eastAsia="仿宋_GB2312" w:cs="仿宋_GB2312"/>
                <w:color w:val="auto"/>
                <w:sz w:val="28"/>
                <w:szCs w:val="28"/>
                <w:lang w:val="en-US" w:eastAsia="zh-CN"/>
              </w:rPr>
              <w:t>造</w:t>
            </w:r>
            <w:r>
              <w:rPr>
                <w:rFonts w:hint="eastAsia" w:ascii="仿宋_GB2312" w:hAnsi="仿宋_GB2312" w:eastAsia="仿宋_GB2312" w:cs="仿宋_GB2312"/>
                <w:color w:val="auto"/>
                <w:sz w:val="28"/>
                <w:szCs w:val="28"/>
              </w:rPr>
              <w:t>工程、</w:t>
            </w:r>
            <w:r>
              <w:rPr>
                <w:rFonts w:hint="eastAsia" w:ascii="仿宋_GB2312" w:hAnsi="仿宋_GB2312" w:eastAsia="仿宋_GB2312" w:cs="仿宋_GB2312"/>
                <w:color w:val="auto"/>
                <w:sz w:val="28"/>
                <w:szCs w:val="28"/>
                <w:lang w:val="en-US" w:eastAsia="zh-CN"/>
              </w:rPr>
              <w:t>荆州隧道建设项目、</w:t>
            </w:r>
            <w:r>
              <w:rPr>
                <w:rFonts w:hint="eastAsia" w:ascii="仿宋_GB2312" w:hAnsi="仿宋_GB2312" w:eastAsia="仿宋_GB2312" w:cs="仿宋_GB2312"/>
                <w:color w:val="auto"/>
                <w:sz w:val="28"/>
                <w:szCs w:val="28"/>
              </w:rPr>
              <w:t>S346煤炭山至杨柳村桥段改建工程、扬板线提升改造等县乡公路建设、县城乡客运设施改造项目、上金山隧道</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绩溪县通用机场</w:t>
            </w:r>
            <w:r>
              <w:rPr>
                <w:rFonts w:hint="eastAsia" w:ascii="仿宋_GB2312" w:hAnsi="仿宋_GB2312" w:eastAsia="仿宋_GB2312" w:cs="仿宋_GB2312"/>
                <w:color w:val="auto"/>
                <w:sz w:val="28"/>
                <w:szCs w:val="28"/>
                <w:lang w:eastAsia="zh-CN"/>
              </w:rPr>
              <w:t>项目</w:t>
            </w:r>
            <w:r>
              <w:rPr>
                <w:rFonts w:hint="eastAsia" w:ascii="仿宋_GB2312" w:hAnsi="仿宋_GB2312" w:eastAsia="仿宋_GB2312" w:cs="仿宋_GB2312"/>
                <w:color w:val="auto"/>
                <w:sz w:val="28"/>
                <w:szCs w:val="28"/>
              </w:rPr>
              <w:t>等。</w:t>
            </w:r>
          </w:p>
        </w:tc>
      </w:tr>
    </w:tbl>
    <w:p>
      <w:pPr>
        <w:pStyle w:val="4"/>
        <w:keepNext/>
        <w:keepLines/>
        <w:pageBreakBefore w:val="0"/>
        <w:widowControl w:val="0"/>
        <w:kinsoku/>
        <w:wordWrap/>
        <w:overflowPunct/>
        <w:topLinePunct w:val="0"/>
        <w:autoSpaceDE/>
        <w:autoSpaceDN/>
        <w:bidi w:val="0"/>
        <w:adjustRightInd/>
        <w:snapToGrid/>
        <w:spacing w:before="160" w:beforeLines="50" w:after="0" w:line="240" w:lineRule="auto"/>
        <w:jc w:val="center"/>
        <w:textAlignment w:val="auto"/>
        <w:outlineLvl w:val="1"/>
        <w:rPr>
          <w:rFonts w:hint="eastAsia" w:ascii="仿宋_GB2312" w:hAnsi="楷体" w:eastAsia="仿宋_GB2312"/>
          <w:color w:val="auto"/>
          <w:szCs w:val="30"/>
          <w:lang w:eastAsia="zh-CN"/>
        </w:rPr>
      </w:pPr>
      <w:bookmarkStart w:id="303" w:name="_Toc19222"/>
      <w:bookmarkStart w:id="304" w:name="_Toc5548"/>
      <w:bookmarkStart w:id="305" w:name="_Toc26386"/>
      <w:bookmarkStart w:id="306" w:name="_Toc25662_WPSOffice_Level2"/>
      <w:bookmarkStart w:id="307" w:name="_Toc15111"/>
      <w:r>
        <w:rPr>
          <w:rFonts w:hint="eastAsia" w:ascii="仿宋_GB2312" w:hAnsi="楷体" w:eastAsia="仿宋_GB2312"/>
          <w:color w:val="auto"/>
          <w:szCs w:val="30"/>
        </w:rPr>
        <w:t xml:space="preserve">第四节  </w:t>
      </w:r>
      <w:bookmarkEnd w:id="303"/>
      <w:bookmarkEnd w:id="304"/>
      <w:bookmarkEnd w:id="305"/>
      <w:r>
        <w:rPr>
          <w:rFonts w:hint="eastAsia" w:ascii="仿宋_GB2312" w:hAnsi="楷体" w:eastAsia="仿宋_GB2312"/>
          <w:color w:val="auto"/>
          <w:szCs w:val="30"/>
          <w:lang w:eastAsia="zh-CN"/>
        </w:rPr>
        <w:t>补齐水利能源基础设施短板</w:t>
      </w:r>
      <w:bookmarkEnd w:id="306"/>
    </w:p>
    <w:p>
      <w:pPr>
        <w:keepNext w:val="0"/>
        <w:keepLines w:val="0"/>
        <w:pageBreakBefore w:val="0"/>
        <w:widowControl w:val="0"/>
        <w:kinsoku/>
        <w:wordWrap/>
        <w:overflowPunct/>
        <w:topLinePunct w:val="0"/>
        <w:autoSpaceDE/>
        <w:autoSpaceDN/>
        <w:bidi w:val="0"/>
        <w:adjustRightInd/>
        <w:snapToGrid/>
        <w:spacing w:line="500" w:lineRule="exact"/>
        <w:ind w:firstLine="800" w:firstLineChars="250"/>
        <w:jc w:val="left"/>
        <w:textAlignment w:val="auto"/>
        <w:outlineLvl w:val="1"/>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outlineLvl w:val="1"/>
        <w:rPr>
          <w:rFonts w:hint="eastAsia"/>
        </w:rPr>
      </w:pPr>
      <w:r>
        <w:rPr>
          <w:rFonts w:hint="eastAsia" w:ascii="仿宋_GB2312" w:hAnsi="仿宋_GB2312" w:eastAsia="仿宋_GB2312" w:cs="仿宋_GB2312"/>
          <w:color w:val="auto"/>
          <w:spacing w:val="-2"/>
          <w:sz w:val="32"/>
          <w:szCs w:val="32"/>
        </w:rPr>
        <w:t>坚持“节水优先、空间均衡、系统治理、两手发力”、治水思路，加快推进水利工程补短板，全面推动水资源、水生态、水环境、水灾害问题有效解决，构建与我县高质量发展相适应的水安全保障体系。提升城镇防洪能力，实施小型病险水库除险加固工程，推进中小河流治理，加强山洪沟灾害防治。加强饮用水源地环境管理，定期监测和评估县域内饮水安全状况，保障集中式饮用水水源地水质达标率稳定在100%。调整县城区既有水源地规划，拟将扬溪源水库作为新的水源地。推进城乡供水一体化建设，促进水系连通和水系综合整治，谋划新建中小型水库，实施水生态保护</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修复与水土保持工程。以河长制为抓手，加强水资源节约保护、水环境综合整治、水执法监管。完善水利工程建设质量监管制度和监督机制，推进水利工程制度化、规范化、精细化管理。积极推行水土流失监测监管全覆盖，助推美丽河流建设。推进绩溪抽水蓄能电站全面建成并提质增效，争取家朋抽水蓄能电站项目列入全省抽水蓄能电站选点规划。</w:t>
      </w:r>
      <w:r>
        <w:rPr>
          <w:rFonts w:hint="eastAsia" w:ascii="仿宋_GB2312" w:hAnsi="仿宋_GB2312" w:eastAsia="仿宋_GB2312" w:cs="仿宋_GB2312"/>
          <w:color w:val="auto"/>
          <w:sz w:val="32"/>
          <w:szCs w:val="32"/>
        </w:rPr>
        <w:t>加强电力和天然气安全稳定发展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2"/>
          <w:sz w:val="32"/>
          <w:szCs w:val="32"/>
          <w:lang w:val="en-US" w:eastAsia="zh-CN"/>
        </w:rPr>
        <w:t>完成</w:t>
      </w:r>
      <w:r>
        <w:rPr>
          <w:rFonts w:hint="eastAsia" w:ascii="仿宋_GB2312" w:hAnsi="仿宋_GB2312" w:eastAsia="仿宋_GB2312" w:cs="仿宋_GB2312"/>
          <w:color w:val="auto"/>
          <w:spacing w:val="-2"/>
          <w:sz w:val="32"/>
          <w:szCs w:val="32"/>
        </w:rPr>
        <w:t>宁国至黄山天然气支线绩溪段建设</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加快推进城区和经济开发区天然气管网规划建设。建设11万伏溪马、孔灵变电站。实施新一轮农网改造升级工程。</w:t>
      </w:r>
    </w:p>
    <w:tbl>
      <w:tblPr>
        <w:tblStyle w:val="14"/>
        <w:tblpPr w:leftFromText="180" w:rightFromText="180" w:vertAnchor="text" w:horzAnchor="page" w:tblpX="1907" w:tblpY="640"/>
        <w:tblOverlap w:val="never"/>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60" w:hRule="atLeast"/>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专栏2</w:t>
            </w:r>
            <w:r>
              <w:rPr>
                <w:rFonts w:hint="eastAsia" w:ascii="仿宋_GB2312" w:hAnsi="仿宋_GB2312" w:eastAsia="仿宋_GB2312" w:cs="仿宋_GB2312"/>
                <w:b/>
                <w:color w:val="auto"/>
                <w:sz w:val="28"/>
                <w:szCs w:val="28"/>
                <w:lang w:val="en-US" w:eastAsia="zh-CN"/>
              </w:rPr>
              <w:t>2</w:t>
            </w:r>
            <w:r>
              <w:rPr>
                <w:rFonts w:hint="eastAsia" w:ascii="仿宋_GB2312" w:hAnsi="仿宋_GB2312" w:eastAsia="仿宋_GB2312" w:cs="仿宋_GB2312"/>
                <w:b/>
                <w:color w:val="auto"/>
                <w:sz w:val="28"/>
                <w:szCs w:val="28"/>
              </w:rPr>
              <w:t xml:space="preserve">  水利、能源基础设施重点项目</w:t>
            </w:r>
          </w:p>
        </w:tc>
      </w:tr>
      <w:tr>
        <w:tblPrEx>
          <w:tblCellMar>
            <w:top w:w="0" w:type="dxa"/>
            <w:left w:w="108" w:type="dxa"/>
            <w:bottom w:w="0" w:type="dxa"/>
            <w:right w:w="108" w:type="dxa"/>
          </w:tblCellMar>
        </w:tblPrEx>
        <w:trPr>
          <w:trHeight w:val="6407" w:hRule="atLeast"/>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水利：</w:t>
            </w:r>
            <w:r>
              <w:rPr>
                <w:rFonts w:hint="eastAsia" w:ascii="仿宋_GB2312" w:hAnsi="仿宋_GB2312" w:eastAsia="仿宋_GB2312" w:cs="仿宋_GB2312"/>
                <w:color w:val="auto"/>
                <w:sz w:val="28"/>
                <w:szCs w:val="28"/>
              </w:rPr>
              <w:t>县城防洪提升工程、病险水库除险加固、大源河河道治理工程、扬之河河道治理工程、登源河河道治理工程、徽水河河道治理工程、尚田河支流河道治理工程、石门亭河河道治理工程、</w:t>
            </w:r>
            <w:r>
              <w:rPr>
                <w:rFonts w:hint="eastAsia" w:ascii="仿宋_GB2312" w:hAnsi="仿宋_GB2312" w:eastAsia="仿宋_GB2312" w:cs="仿宋_GB2312"/>
                <w:color w:val="auto"/>
                <w:sz w:val="28"/>
                <w:szCs w:val="28"/>
                <w:lang w:val="en-US" w:eastAsia="zh-CN"/>
              </w:rPr>
              <w:t>半茶河河道治理工程、</w:t>
            </w:r>
            <w:r>
              <w:rPr>
                <w:rFonts w:hint="eastAsia" w:ascii="仿宋_GB2312" w:hAnsi="仿宋_GB2312" w:eastAsia="仿宋_GB2312" w:cs="仿宋_GB2312"/>
                <w:color w:val="auto"/>
                <w:sz w:val="28"/>
                <w:szCs w:val="28"/>
              </w:rPr>
              <w:t>西津河河道治理工程、山洪灾害防治工程、</w:t>
            </w:r>
            <w:r>
              <w:rPr>
                <w:rFonts w:hint="eastAsia" w:ascii="仿宋_GB2312" w:hAnsi="仿宋_GB2312" w:eastAsia="仿宋_GB2312" w:cs="仿宋_GB2312"/>
                <w:color w:val="auto"/>
                <w:sz w:val="28"/>
                <w:szCs w:val="28"/>
                <w:lang w:val="en-US" w:eastAsia="zh-CN"/>
              </w:rPr>
              <w:t>上庄镇集中供水工程、伏岭镇自来水厂及供水管网建设工程、</w:t>
            </w:r>
            <w:r>
              <w:rPr>
                <w:rFonts w:hint="eastAsia" w:ascii="仿宋_GB2312" w:hAnsi="仿宋_GB2312" w:eastAsia="仿宋_GB2312" w:cs="仿宋_GB2312"/>
                <w:color w:val="auto"/>
                <w:sz w:val="28"/>
                <w:szCs w:val="28"/>
              </w:rPr>
              <w:t>县自来水厂管网延伸工程、扬溪源水库供水管网配套工程、农村生活供水配置工程、扬溪源水库、王家源水库、高圳水库、仙人岩水库、</w:t>
            </w:r>
            <w:r>
              <w:rPr>
                <w:rFonts w:hint="eastAsia" w:ascii="仿宋_GB2312" w:hAnsi="仿宋_GB2312" w:eastAsia="仿宋_GB2312" w:cs="仿宋_GB2312"/>
                <w:color w:val="auto"/>
                <w:sz w:val="28"/>
                <w:szCs w:val="28"/>
                <w:lang w:eastAsia="zh-CN"/>
              </w:rPr>
              <w:t>红岭水库、</w:t>
            </w:r>
            <w:r>
              <w:rPr>
                <w:rFonts w:hint="eastAsia" w:ascii="仿宋_GB2312" w:hAnsi="仿宋_GB2312" w:eastAsia="仿宋_GB2312" w:cs="仿宋_GB2312"/>
                <w:color w:val="auto"/>
                <w:sz w:val="28"/>
                <w:szCs w:val="28"/>
              </w:rPr>
              <w:t>两头磨水库、际坑水库、大塘扩库工程、大源河水系连通工程、板桥头水系连通工程、扬之河西津河水系连通工程、伏岭水系连通工程、水土保持工程、农村水系综合整治等。</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能源：</w:t>
            </w:r>
            <w:r>
              <w:rPr>
                <w:rFonts w:hint="eastAsia" w:ascii="仿宋_GB2312" w:hAnsi="仿宋_GB2312" w:eastAsia="仿宋_GB2312" w:cs="仿宋_GB2312"/>
                <w:color w:val="auto"/>
                <w:sz w:val="28"/>
                <w:szCs w:val="28"/>
              </w:rPr>
              <w:t>绩溪抽水蓄能电站、家朋抽水蓄能电站、城区</w:t>
            </w:r>
            <w:r>
              <w:rPr>
                <w:rFonts w:hint="eastAsia" w:ascii="仿宋_GB2312" w:hAnsi="仿宋_GB2312" w:eastAsia="仿宋_GB2312" w:cs="仿宋_GB2312"/>
                <w:color w:val="auto"/>
                <w:sz w:val="28"/>
                <w:szCs w:val="28"/>
                <w:lang w:eastAsia="zh-CN"/>
              </w:rPr>
              <w:t>和经开区</w:t>
            </w:r>
            <w:r>
              <w:rPr>
                <w:rFonts w:hint="eastAsia" w:ascii="仿宋_GB2312" w:hAnsi="仿宋_GB2312" w:eastAsia="仿宋_GB2312" w:cs="仿宋_GB2312"/>
                <w:color w:val="auto"/>
                <w:sz w:val="28"/>
                <w:szCs w:val="28"/>
              </w:rPr>
              <w:t>天然气管网建设、乡镇天然气利用项目、</w:t>
            </w:r>
            <w:r>
              <w:rPr>
                <w:rFonts w:hint="eastAsia" w:ascii="仿宋_GB2312" w:hAnsi="仿宋_GB2312" w:eastAsia="仿宋_GB2312" w:cs="仿宋_GB2312"/>
                <w:color w:val="auto"/>
                <w:sz w:val="28"/>
                <w:szCs w:val="28"/>
                <w:lang w:eastAsia="zh-CN"/>
              </w:rPr>
              <w:t>农村电网改造升级工程、</w:t>
            </w:r>
            <w:r>
              <w:rPr>
                <w:rFonts w:hint="eastAsia" w:ascii="仿宋_GB2312" w:hAnsi="仿宋_GB2312" w:eastAsia="仿宋_GB2312" w:cs="仿宋_GB2312"/>
                <w:color w:val="auto"/>
                <w:sz w:val="28"/>
                <w:szCs w:val="28"/>
              </w:rPr>
              <w:t>绩溪县上庄镇50MWp农光互补光伏发电项目、11万伏溪马变电站、11万伏孔灵变电站等。</w:t>
            </w:r>
          </w:p>
        </w:tc>
      </w:tr>
    </w:tbl>
    <w:p>
      <w:pPr>
        <w:pStyle w:val="13"/>
        <w:keepNext w:val="0"/>
        <w:keepLines w:val="0"/>
        <w:pageBreakBefore w:val="0"/>
        <w:widowControl/>
        <w:kinsoku/>
        <w:wordWrap/>
        <w:overflowPunct/>
        <w:topLinePunct w:val="0"/>
        <w:autoSpaceDE/>
        <w:autoSpaceDN/>
        <w:bidi w:val="0"/>
        <w:adjustRightInd/>
        <w:snapToGrid/>
        <w:spacing w:beforeAutospacing="0" w:afterAutospacing="0" w:line="140" w:lineRule="exact"/>
        <w:ind w:firstLine="0" w:firstLineChars="0"/>
        <w:textAlignment w:val="auto"/>
        <w:outlineLvl w:val="1"/>
        <w:rPr>
          <w:rFonts w:eastAsia="仿宋_GB2312" w:cs="仿宋_GB2312" w:asciiTheme="minorHAnsi" w:hAnsiTheme="minorHAnsi"/>
          <w:color w:val="auto"/>
          <w:kern w:val="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2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308" w:name="_Toc6831"/>
      <w:bookmarkStart w:id="309" w:name="_Toc28951"/>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2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2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310" w:name="_Toc13843_WPSOffice_Level1"/>
      <w:r>
        <w:rPr>
          <w:rFonts w:hint="eastAsia" w:ascii="方正小标宋简体" w:hAnsi="方正小标宋简体" w:eastAsia="方正小标宋简体" w:cs="方正小标宋简体"/>
          <w:b w:val="0"/>
          <w:bCs w:val="0"/>
          <w:color w:val="auto"/>
          <w:sz w:val="36"/>
          <w:szCs w:val="36"/>
          <w:lang w:eastAsia="zh-CN"/>
        </w:rPr>
        <w:t>第六章</w:t>
      </w:r>
      <w:r>
        <w:rPr>
          <w:rFonts w:hint="eastAsia" w:ascii="方正小标宋简体" w:hAnsi="方正小标宋简体" w:eastAsia="方正小标宋简体" w:cs="方正小标宋简体"/>
          <w:b w:val="0"/>
          <w:bCs w:val="0"/>
          <w:color w:val="auto"/>
          <w:sz w:val="36"/>
          <w:szCs w:val="36"/>
          <w:lang w:val="en-US" w:eastAsia="zh-CN"/>
        </w:rPr>
        <w:t xml:space="preserve">  </w:t>
      </w:r>
      <w:r>
        <w:rPr>
          <w:rFonts w:hint="eastAsia" w:ascii="方正小标宋简体" w:hAnsi="方正小标宋简体" w:eastAsia="方正小标宋简体" w:cs="方正小标宋简体"/>
          <w:b w:val="0"/>
          <w:bCs w:val="0"/>
          <w:color w:val="auto"/>
          <w:sz w:val="36"/>
          <w:szCs w:val="36"/>
          <w:lang w:eastAsia="zh-CN"/>
        </w:rPr>
        <w:t>实施扩大内需战略 以高质量</w:t>
      </w:r>
      <w:bookmarkEnd w:id="308"/>
      <w:bookmarkEnd w:id="309"/>
      <w:bookmarkEnd w:id="310"/>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2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311" w:name="_Toc152_WPSOffice_Level2"/>
      <w:bookmarkStart w:id="312" w:name="_Toc18799_WPSOffice_Level2"/>
      <w:bookmarkStart w:id="313" w:name="_Toc19636"/>
      <w:bookmarkStart w:id="314" w:name="_Toc6061_WPSOffice_Level2"/>
      <w:bookmarkStart w:id="315" w:name="_Toc10322_WPSOffice_Level2"/>
      <w:bookmarkStart w:id="316" w:name="_Toc2838_WPSOffice_Level2"/>
      <w:bookmarkStart w:id="317" w:name="_Toc19450_WPSOffice_Level2"/>
      <w:bookmarkStart w:id="318" w:name="_Toc3237_WPSOffice_Level2"/>
      <w:bookmarkStart w:id="319" w:name="_Toc10622_WPSOffice_Level2"/>
      <w:bookmarkStart w:id="320" w:name="_Toc10757"/>
      <w:bookmarkStart w:id="321" w:name="_Toc29743_WPSOffice_Level2"/>
      <w:r>
        <w:rPr>
          <w:rFonts w:hint="eastAsia" w:ascii="方正小标宋简体" w:hAnsi="方正小标宋简体" w:eastAsia="方正小标宋简体" w:cs="方正小标宋简体"/>
          <w:b w:val="0"/>
          <w:bCs w:val="0"/>
          <w:color w:val="auto"/>
          <w:sz w:val="36"/>
          <w:szCs w:val="36"/>
          <w:lang w:eastAsia="zh-CN"/>
        </w:rPr>
        <w:t>供给引领新需求</w:t>
      </w:r>
      <w:bookmarkEnd w:id="307"/>
      <w:bookmarkEnd w:id="311"/>
      <w:bookmarkEnd w:id="312"/>
      <w:bookmarkEnd w:id="313"/>
      <w:bookmarkEnd w:id="314"/>
      <w:bookmarkEnd w:id="315"/>
      <w:bookmarkEnd w:id="316"/>
      <w:bookmarkEnd w:id="317"/>
      <w:bookmarkEnd w:id="318"/>
      <w:bookmarkEnd w:id="319"/>
      <w:bookmarkEnd w:id="320"/>
      <w:bookmarkEnd w:id="321"/>
    </w:p>
    <w:p>
      <w:pPr>
        <w:outlineLvl w:val="1"/>
        <w:rPr>
          <w:color w:val="auto"/>
        </w:rPr>
      </w:pPr>
    </w:p>
    <w:p>
      <w:pPr>
        <w:pStyle w:val="2"/>
        <w:keepNext w:val="0"/>
        <w:keepLines w:val="0"/>
        <w:pageBreakBefore w:val="0"/>
        <w:widowControl w:val="0"/>
        <w:kinsoku/>
        <w:wordWrap/>
        <w:overflowPunct/>
        <w:topLinePunct w:val="0"/>
        <w:autoSpaceDE w:val="0"/>
        <w:autoSpaceDN w:val="0"/>
        <w:bidi w:val="0"/>
        <w:adjustRightInd w:val="0"/>
        <w:snapToGrid/>
        <w:spacing w:line="240" w:lineRule="exact"/>
        <w:ind w:left="119"/>
        <w:textAlignment w:val="auto"/>
        <w:outlineLvl w:val="1"/>
        <w:rPr>
          <w:color w:val="auto"/>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牢牢把握扩大内需这个战略基点，深化供给侧结构性改革，更好利用国际国内两个市场、两种资源，增强联通国际国内双循环的功能，助力形成新发展格局。</w:t>
      </w:r>
      <w:bookmarkStart w:id="322" w:name="_Toc23149"/>
      <w:bookmarkStart w:id="323" w:name="_Toc18053"/>
      <w:bookmarkStart w:id="324" w:name="_Toc21336"/>
    </w:p>
    <w:p>
      <w:pPr>
        <w:keepNext w:val="0"/>
        <w:keepLines w:val="0"/>
        <w:pageBreakBefore w:val="0"/>
        <w:widowControl w:val="0"/>
        <w:kinsoku/>
        <w:wordWrap/>
        <w:overflowPunct/>
        <w:topLinePunct w:val="0"/>
        <w:autoSpaceDE/>
        <w:autoSpaceDN/>
        <w:bidi w:val="0"/>
        <w:adjustRightInd/>
        <w:snapToGrid/>
        <w:spacing w:before="318" w:beforeLines="100" w:after="318" w:afterLines="100" w:line="540" w:lineRule="exact"/>
        <w:ind w:left="0" w:leftChars="0" w:firstLine="0" w:firstLineChars="0"/>
        <w:jc w:val="center"/>
        <w:textAlignment w:val="auto"/>
        <w:outlineLvl w:val="1"/>
        <w:rPr>
          <w:rFonts w:hint="eastAsia" w:ascii="仿宋_GB2312" w:hAnsi="仿宋_GB2312" w:eastAsia="仿宋_GB2312" w:cs="仿宋_GB2312"/>
          <w:b/>
          <w:bCs/>
          <w:color w:val="auto"/>
          <w:sz w:val="32"/>
          <w:szCs w:val="32"/>
        </w:rPr>
      </w:pPr>
      <w:bookmarkStart w:id="325" w:name="_Toc27536_WPSOffice_Level2"/>
      <w:r>
        <w:rPr>
          <w:rFonts w:hint="eastAsia" w:ascii="仿宋_GB2312" w:hAnsi="仿宋_GB2312" w:eastAsia="仿宋_GB2312" w:cs="仿宋_GB2312"/>
          <w:b/>
          <w:bCs/>
          <w:color w:val="auto"/>
          <w:sz w:val="32"/>
          <w:szCs w:val="32"/>
        </w:rPr>
        <w:t>第一节  全面促进消费扩容提质</w:t>
      </w:r>
      <w:bookmarkEnd w:id="322"/>
      <w:bookmarkEnd w:id="323"/>
      <w:bookmarkEnd w:id="324"/>
      <w:bookmarkEnd w:id="325"/>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引导企业顺应居民消费升级大趋势，提升供给质量和水平，加大文化、旅游、健康、养老等中高端服务供给。大力培育徽菜餐饮品牌，</w:t>
      </w:r>
      <w:r>
        <w:rPr>
          <w:rFonts w:hint="eastAsia" w:ascii="仿宋_GB2312" w:hAnsi="仿宋_GB2312" w:eastAsia="仿宋_GB2312" w:cs="仿宋_GB2312"/>
          <w:color w:val="auto"/>
          <w:spacing w:val="-2"/>
          <w:sz w:val="32"/>
          <w:szCs w:val="32"/>
        </w:rPr>
        <w:t>实施徽菜“十乡百碗”“千店万厨”工程，深入挖掘传承传统徽菜文化，进一步明确目标体系，建立健全质量体系，着力打造评价体系，积极构建人才体系，推动臭鳜鱼、笋干等重点徽菜产品</w:t>
      </w:r>
      <w:r>
        <w:rPr>
          <w:rFonts w:hint="eastAsia" w:ascii="仿宋_GB2312" w:hAnsi="仿宋_GB2312" w:eastAsia="仿宋_GB2312" w:cs="仿宋_GB2312"/>
          <w:color w:val="auto"/>
          <w:spacing w:val="-2"/>
          <w:sz w:val="32"/>
          <w:szCs w:val="32"/>
          <w:lang w:val="en-US" w:eastAsia="zh-CN"/>
        </w:rPr>
        <w:t>标准化认定和</w:t>
      </w:r>
      <w:r>
        <w:rPr>
          <w:rFonts w:hint="eastAsia" w:ascii="仿宋_GB2312" w:hAnsi="仿宋_GB2312" w:eastAsia="仿宋_GB2312" w:cs="仿宋_GB2312"/>
          <w:color w:val="auto"/>
          <w:spacing w:val="-2"/>
          <w:sz w:val="32"/>
          <w:szCs w:val="32"/>
        </w:rPr>
        <w:t>产业化、电商化</w:t>
      </w:r>
      <w:r>
        <w:rPr>
          <w:rFonts w:hint="eastAsia" w:ascii="仿宋_GB2312" w:hAnsi="仿宋_GB2312" w:eastAsia="仿宋_GB2312" w:cs="仿宋_GB2312"/>
          <w:color w:val="auto"/>
          <w:spacing w:val="-2"/>
          <w:sz w:val="32"/>
          <w:szCs w:val="32"/>
          <w:lang w:val="en-US" w:eastAsia="zh-CN"/>
        </w:rPr>
        <w:t>发展</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支持新城国际、多利国际、徽顺酒店、聚</w:t>
      </w:r>
      <w:r>
        <w:rPr>
          <w:rFonts w:hint="eastAsia" w:ascii="仿宋_GB2312" w:hAnsi="仿宋_GB2312" w:eastAsia="仿宋_GB2312" w:cs="仿宋_GB2312"/>
          <w:color w:val="auto"/>
          <w:spacing w:val="-2"/>
          <w:sz w:val="32"/>
          <w:szCs w:val="32"/>
          <w:lang w:val="en-US" w:eastAsia="zh-CN"/>
        </w:rPr>
        <w:t>和</w:t>
      </w:r>
      <w:r>
        <w:rPr>
          <w:rFonts w:hint="eastAsia" w:ascii="仿宋_GB2312" w:hAnsi="仿宋_GB2312" w:eastAsia="仿宋_GB2312" w:cs="仿宋_GB2312"/>
          <w:color w:val="auto"/>
          <w:spacing w:val="-2"/>
          <w:sz w:val="32"/>
          <w:szCs w:val="32"/>
          <w:lang w:eastAsia="zh-CN"/>
        </w:rPr>
        <w:t>圆</w:t>
      </w:r>
      <w:r>
        <w:rPr>
          <w:rFonts w:hint="eastAsia" w:ascii="仿宋_GB2312" w:hAnsi="仿宋_GB2312" w:eastAsia="仿宋_GB2312" w:cs="仿宋_GB2312"/>
          <w:color w:val="auto"/>
          <w:spacing w:val="-2"/>
          <w:sz w:val="32"/>
          <w:szCs w:val="32"/>
        </w:rPr>
        <w:t>、徽州故里等重点餐饮企业发展，新创建一批钻级酒店、绿色饭店等，提升徽菜之乡餐饮品牌号召力。加强徽雕、徽墨、健康食品、绿色农产</w:t>
      </w:r>
      <w:r>
        <w:rPr>
          <w:rFonts w:hint="eastAsia" w:ascii="仿宋_GB2312" w:hAnsi="仿宋_GB2312" w:eastAsia="仿宋_GB2312" w:cs="仿宋_GB2312"/>
          <w:color w:val="auto"/>
          <w:sz w:val="32"/>
          <w:szCs w:val="32"/>
        </w:rPr>
        <w:t>品、旅游、养老等领域消费品自主品牌建设，提高产品质量。持续提升中国徽菜美食文化旅游节、油菜花节等节庆品牌内涵和影响力，加大文化旅游营销推介力度，推出系列旅游精品线路，承接好各地游客来绩旅游消费。围绕“糸巷”美食文化旅游综合体、电竞小镇项目推进，推动品质夜市和夜间经济集聚区建设，促进夜间经济发展。优化完善消费环境，加强消费领域诚信体系和质量认证体系建设，加大消费者权益保护力度，营造放心消费的环境。鼓励发展智慧医疗、智慧旅游、智能体育等消费新业态。</w:t>
      </w:r>
    </w:p>
    <w:tbl>
      <w:tblPr>
        <w:tblStyle w:val="14"/>
        <w:tblpPr w:leftFromText="180" w:rightFromText="180" w:vertAnchor="text" w:horzAnchor="page" w:tblpX="1907" w:tblpY="640"/>
        <w:tblOverlap w:val="never"/>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60" w:hRule="atLeast"/>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专栏2</w:t>
            </w:r>
            <w:r>
              <w:rPr>
                <w:rFonts w:hint="eastAsia" w:ascii="仿宋_GB2312" w:hAnsi="仿宋_GB2312" w:eastAsia="仿宋_GB2312" w:cs="仿宋_GB2312"/>
                <w:b/>
                <w:color w:val="auto"/>
                <w:sz w:val="28"/>
                <w:szCs w:val="28"/>
                <w:lang w:val="en-US" w:eastAsia="zh-CN"/>
              </w:rPr>
              <w:t>3</w:t>
            </w:r>
            <w:r>
              <w:rPr>
                <w:rFonts w:hint="eastAsia" w:ascii="仿宋_GB2312" w:hAnsi="仿宋_GB2312" w:eastAsia="仿宋_GB2312" w:cs="仿宋_GB2312"/>
                <w:b/>
                <w:color w:val="auto"/>
                <w:sz w:val="28"/>
                <w:szCs w:val="28"/>
              </w:rPr>
              <w:t xml:space="preserve"> “十乡百碗”工程行动计划</w:t>
            </w:r>
          </w:p>
        </w:tc>
      </w:tr>
      <w:tr>
        <w:tblPrEx>
          <w:tblCellMar>
            <w:top w:w="0" w:type="dxa"/>
            <w:left w:w="108" w:type="dxa"/>
            <w:bottom w:w="0" w:type="dxa"/>
            <w:right w:w="108" w:type="dxa"/>
          </w:tblCellMar>
        </w:tblPrEx>
        <w:trPr>
          <w:trHeight w:val="6407" w:hRule="atLeast"/>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指导思想：</w:t>
            </w:r>
            <w:r>
              <w:rPr>
                <w:rFonts w:hint="eastAsia" w:ascii="仿宋_GB2312" w:hAnsi="仿宋_GB2312" w:eastAsia="仿宋_GB2312" w:cs="仿宋_GB2312"/>
                <w:color w:val="auto"/>
                <w:sz w:val="28"/>
                <w:szCs w:val="28"/>
              </w:rPr>
              <w:t>以习近平新时代中国特色社会主义思想为指导，以实现高质量发展为目标，紧紧抓住杭黄世界级</w:t>
            </w:r>
            <w:r>
              <w:rPr>
                <w:rFonts w:hint="eastAsia" w:ascii="仿宋_GB2312" w:hAnsi="仿宋_GB2312" w:eastAsia="仿宋_GB2312" w:cs="仿宋_GB2312"/>
                <w:color w:val="auto"/>
                <w:sz w:val="28"/>
                <w:szCs w:val="28"/>
                <w:lang w:val="en-US" w:eastAsia="zh-CN"/>
              </w:rPr>
              <w:t>自然生态和文化旅游</w:t>
            </w:r>
            <w:r>
              <w:rPr>
                <w:rFonts w:hint="eastAsia" w:ascii="仿宋_GB2312" w:hAnsi="仿宋_GB2312" w:eastAsia="仿宋_GB2312" w:cs="仿宋_GB2312"/>
                <w:color w:val="auto"/>
                <w:sz w:val="28"/>
                <w:szCs w:val="28"/>
              </w:rPr>
              <w:t>廊道建设契机，坚持政府引导、市场运作、企业主体、创新发展，进一步做实做强“十乡百碗”工程，助推文旅融合和产业高质量发展，为建设“两区一地”作出积极贡献。</w:t>
            </w:r>
          </w:p>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主要目标：</w:t>
            </w:r>
            <w:r>
              <w:rPr>
                <w:rFonts w:hint="eastAsia" w:ascii="仿宋_GB2312" w:hAnsi="仿宋_GB2312" w:eastAsia="仿宋_GB2312" w:cs="仿宋_GB2312"/>
                <w:color w:val="auto"/>
                <w:sz w:val="28"/>
                <w:szCs w:val="28"/>
              </w:rPr>
              <w:t>通过五年努力，打造群众广泛参与、国内知名度高的“十乡百碗”旅游美食品牌，基本形成集原料生产、加工、配送、制作、销售于一体的徽菜美食产业体系，徽菜美食文化进一步传承弘扬和创新发展，旅游美食服务监管体制进一步健全，徽菜美食产业水平进一步提升。</w:t>
            </w:r>
          </w:p>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hint="eastAsia" w:ascii="仿宋_GB2312" w:hAnsi="仿宋_GB2312" w:eastAsia="仿宋_GB2312" w:cs="仿宋_GB2312"/>
                <w:b/>
                <w:color w:val="auto"/>
                <w:sz w:val="28"/>
                <w:szCs w:val="28"/>
              </w:rPr>
            </w:pPr>
            <w:r>
              <w:rPr>
                <w:rFonts w:hint="eastAsia" w:ascii="仿宋_GB2312" w:hAnsi="仿宋_GB2312" w:eastAsia="仿宋_GB2312" w:cs="仿宋_GB2312"/>
                <w:b/>
                <w:bCs/>
                <w:color w:val="auto"/>
                <w:sz w:val="28"/>
                <w:szCs w:val="28"/>
              </w:rPr>
              <w:t>重点任务：</w:t>
            </w:r>
            <w:r>
              <w:rPr>
                <w:rFonts w:hint="eastAsia" w:ascii="仿宋_GB2312" w:hAnsi="仿宋_GB2312" w:eastAsia="仿宋_GB2312" w:cs="仿宋_GB2312"/>
                <w:color w:val="auto"/>
                <w:sz w:val="28"/>
                <w:szCs w:val="28"/>
              </w:rPr>
              <w:t>建设“十乡百碗”旅游美食体验点，通过打造徽菜美食街区、加强线上体验、推动省外落户，推动“十乡百碗”走进千家万户；提升“十乡百碗” 品牌核心竞争力，以“十乡百碗”为主题IP,注册品牌商标，设计品牌视觉系统，广泛开展科普宣传，传播美食文化；建立“十乡百碗”质量评价体系，制定“十乡百碗”食材选用、加工工艺、制作流程、口味口感、安全卫生及质量评价等标准，建立评价体系，强化监督管</w:t>
            </w:r>
            <w:r>
              <w:rPr>
                <w:rFonts w:hint="eastAsia" w:ascii="仿宋_GB2312" w:hAnsi="仿宋_GB2312" w:eastAsia="仿宋_GB2312" w:cs="仿宋_GB2312"/>
                <w:color w:val="auto"/>
                <w:sz w:val="28"/>
                <w:szCs w:val="28"/>
                <w:lang w:eastAsia="zh-CN"/>
              </w:rPr>
              <w:t>理</w:t>
            </w:r>
            <w:r>
              <w:rPr>
                <w:rFonts w:hint="eastAsia" w:ascii="仿宋_GB2312" w:hAnsi="仿宋_GB2312" w:eastAsia="仿宋_GB2312" w:cs="仿宋_GB2312"/>
                <w:color w:val="auto"/>
                <w:sz w:val="28"/>
                <w:szCs w:val="28"/>
              </w:rPr>
              <w:t>，引导培育一批“十乡百碗”放心消费场所和食材供应场所，并予以认证授牌；大力培养“十乡百碗”旅游美食人才，完善创新机制，开展“送教上门”，评定“美食名匠”，建立专家人才库，支持企业加大旅游美食研发，在县内外，重点是长三角地区投资建设千家“十乡百碗”特色美食店，培养万名徽菜传承技师和“十乡百碗”美食从业者，扩大徽菜美食品牌影响力。</w:t>
            </w:r>
          </w:p>
          <w:p>
            <w:pPr>
              <w:keepNext w:val="0"/>
              <w:keepLines w:val="0"/>
              <w:pageBreakBefore w:val="0"/>
              <w:widowControl w:val="0"/>
              <w:kinsoku/>
              <w:wordWrap/>
              <w:overflowPunct/>
              <w:topLinePunct w:val="0"/>
              <w:autoSpaceDE w:val="0"/>
              <w:autoSpaceDN w:val="0"/>
              <w:bidi w:val="0"/>
              <w:adjustRightInd w:val="0"/>
              <w:snapToGrid/>
              <w:spacing w:before="156" w:line="440" w:lineRule="exact"/>
              <w:ind w:firstLine="562" w:firstLineChars="200"/>
              <w:textAlignment w:val="auto"/>
              <w:outlineLvl w:val="1"/>
              <w:rPr>
                <w:rFonts w:hint="eastAsia" w:ascii="仿宋_GB2312" w:hAnsi="仿宋_GB2312" w:eastAsia="仿宋_GB2312" w:cs="仿宋_GB2312"/>
                <w:b/>
                <w:color w:val="auto"/>
                <w:sz w:val="28"/>
                <w:szCs w:val="28"/>
              </w:rPr>
            </w:pPr>
          </w:p>
        </w:tc>
      </w:tr>
    </w:tbl>
    <w:p>
      <w:pPr>
        <w:pStyle w:val="2"/>
        <w:keepNext w:val="0"/>
        <w:keepLines w:val="0"/>
        <w:pageBreakBefore w:val="0"/>
        <w:widowControl w:val="0"/>
        <w:kinsoku/>
        <w:wordWrap/>
        <w:overflowPunct/>
        <w:topLinePunct w:val="0"/>
        <w:autoSpaceDE w:val="0"/>
        <w:autoSpaceDN w:val="0"/>
        <w:bidi w:val="0"/>
        <w:adjustRightInd w:val="0"/>
        <w:snapToGrid/>
        <w:spacing w:line="240" w:lineRule="exact"/>
        <w:ind w:left="119"/>
        <w:textAlignment w:val="auto"/>
        <w:outlineLvl w:val="9"/>
      </w:pP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firstLine="640" w:firstLineChars="200"/>
        <w:textAlignment w:val="auto"/>
        <w:outlineLvl w:val="1"/>
        <w:rPr>
          <w:rFonts w:ascii="仿宋_GB2312" w:hAnsi="仿宋_GB2312" w:eastAsia="仿宋_GB2312" w:cs="仿宋_GB2312"/>
          <w:color w:val="auto"/>
        </w:rPr>
      </w:pPr>
    </w:p>
    <w:p>
      <w:pPr>
        <w:pStyle w:val="4"/>
        <w:pageBreakBefore w:val="0"/>
        <w:widowControl w:val="0"/>
        <w:kinsoku/>
        <w:wordWrap/>
        <w:overflowPunct/>
        <w:topLinePunct w:val="0"/>
        <w:bidi w:val="0"/>
        <w:snapToGrid/>
        <w:spacing w:before="0" w:after="0" w:line="540" w:lineRule="exact"/>
        <w:jc w:val="center"/>
        <w:textAlignment w:val="auto"/>
        <w:outlineLvl w:val="1"/>
        <w:rPr>
          <w:rFonts w:ascii="仿宋_GB2312" w:hAnsi="楷体" w:eastAsia="仿宋_GB2312"/>
          <w:color w:val="auto"/>
          <w:szCs w:val="30"/>
        </w:rPr>
      </w:pPr>
      <w:bookmarkStart w:id="326" w:name="_Toc4838"/>
      <w:bookmarkStart w:id="327" w:name="_Toc7220"/>
      <w:bookmarkStart w:id="328" w:name="_Toc3205_WPSOffice_Level2"/>
      <w:bookmarkStart w:id="329" w:name="_Toc20759"/>
      <w:r>
        <w:rPr>
          <w:rFonts w:hint="eastAsia" w:ascii="仿宋_GB2312" w:hAnsi="楷体" w:eastAsia="仿宋_GB2312"/>
          <w:color w:val="auto"/>
          <w:szCs w:val="30"/>
        </w:rPr>
        <w:t>第二节  精准扩大有效投资</w:t>
      </w:r>
      <w:bookmarkEnd w:id="326"/>
      <w:bookmarkEnd w:id="327"/>
      <w:bookmarkEnd w:id="328"/>
      <w:bookmarkEnd w:id="329"/>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firstLine="640" w:firstLineChars="200"/>
        <w:textAlignment w:val="auto"/>
        <w:outlineLvl w:val="1"/>
        <w:rPr>
          <w:rFonts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两新一重”，紧盯国家投资导向，高水平谋划、强力度推进一批新型城镇化、新型基础设施和交通、能源、水利等补短板、强功能重大项目，深化“四督四保”“三个走”“集中开工”项目工作机制，推动一批重点项目早开工、早投产、早见效。支持培育壮大建筑市场，提升建筑业水平，促进房地产市场平稳健康发展。加快推进智慧城市建设，实施老旧小区改造、城市停车场、城乡冷链物流设施、地下管网等工程。继续加大水利基础设施建设，推进城乡供水一体化和农村供水工程规模化标准化建设，在重大水利工程、中小河流治理、农田水利建设等方面谋划建设一批基础性、枢纽性的重点项目，</w:t>
      </w:r>
      <w:r>
        <w:rPr>
          <w:rFonts w:hint="eastAsia" w:ascii="仿宋_GB2312" w:eastAsia="仿宋_GB2312"/>
          <w:color w:val="auto"/>
          <w:sz w:val="32"/>
          <w:szCs w:val="32"/>
        </w:rPr>
        <w:t>提升防御自</w:t>
      </w:r>
      <w:r>
        <w:rPr>
          <w:rFonts w:hint="eastAsia" w:ascii="仿宋_GB2312" w:hAnsi="仿宋_GB2312" w:eastAsia="仿宋_GB2312"/>
          <w:color w:val="auto"/>
          <w:sz w:val="32"/>
          <w:szCs w:val="32"/>
          <w:shd w:val="clear" w:color="auto" w:fill="FFFFFF"/>
        </w:rPr>
        <w:t>然灾害水平和</w:t>
      </w:r>
      <w:r>
        <w:rPr>
          <w:rFonts w:hint="eastAsia" w:ascii="仿宋_GB2312" w:hAnsi="仿宋_GB2312" w:eastAsia="仿宋_GB2312" w:cs="仿宋_GB2312"/>
          <w:color w:val="auto"/>
          <w:sz w:val="32"/>
          <w:szCs w:val="32"/>
        </w:rPr>
        <w:t>水生态修复能力。创新政府投资方式，用足用活地方政府专项债券政策，引导金融机构加大融资支持。进一步放开民间投资领域，激发民间投资活力。鼓励企业加快技术改造和设备更新，扩大战略性新兴产业投资。</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textAlignment w:val="auto"/>
        <w:outlineLvl w:val="9"/>
      </w:pPr>
    </w:p>
    <w:p>
      <w:pPr>
        <w:pStyle w:val="4"/>
        <w:pageBreakBefore w:val="0"/>
        <w:widowControl w:val="0"/>
        <w:kinsoku/>
        <w:wordWrap/>
        <w:overflowPunct/>
        <w:topLinePunct w:val="0"/>
        <w:bidi w:val="0"/>
        <w:snapToGrid/>
        <w:spacing w:before="0" w:after="0" w:line="540" w:lineRule="exact"/>
        <w:jc w:val="center"/>
        <w:textAlignment w:val="auto"/>
        <w:outlineLvl w:val="1"/>
        <w:rPr>
          <w:rFonts w:ascii="仿宋_GB2312" w:hAnsi="楷体" w:eastAsia="仿宋_GB2312"/>
          <w:color w:val="auto"/>
          <w:szCs w:val="30"/>
        </w:rPr>
      </w:pPr>
      <w:bookmarkStart w:id="330" w:name="_Toc24118_WPSOffice_Level2"/>
      <w:bookmarkStart w:id="331" w:name="_Toc4708"/>
      <w:bookmarkStart w:id="332" w:name="_Toc28565"/>
      <w:bookmarkStart w:id="333" w:name="_Toc11274"/>
      <w:r>
        <w:rPr>
          <w:rFonts w:hint="eastAsia" w:ascii="仿宋_GB2312" w:hAnsi="楷体" w:eastAsia="仿宋_GB2312"/>
          <w:color w:val="auto"/>
          <w:szCs w:val="30"/>
        </w:rPr>
        <w:t>第三节  构建内外贸融合新格局</w:t>
      </w:r>
      <w:bookmarkEnd w:id="330"/>
      <w:bookmarkEnd w:id="331"/>
      <w:bookmarkEnd w:id="332"/>
      <w:bookmarkEnd w:id="333"/>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1"/>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打造国内国际两个市场的链接，推进内贸外贸、线上线下一体融合，实施内外销产品“同线同标同质”工程。修订完善绩溪县促进外向型经济发展政策，推动更多优质企业“走出去”，积极促进引进外资和对外投资协调发展。积极申报国家和省级异型链条和农产品（茶叶）出口基地，支持黄山恒久链、宁清茶业等外贸企业优化出口产品结构，提高出口总量、质量。鼓励企业参加境内外展会、境外贸易对接活动，积极组织参加世界制造业大会和中国国际徽商大会、中国国际进口博览会。加强与“一带一路”沿线国家和地区务实合作。紧抓杭州亚运会契机，发展亚运经济，创新包装一批绩溪特色产品。</w:t>
      </w: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119"/>
        <w:textAlignment w:val="auto"/>
        <w:outlineLvl w:val="1"/>
        <w:rPr>
          <w:rFonts w:ascii="仿宋_GB2312" w:hAnsi="仿宋_GB2312" w:eastAsia="仿宋_GB2312" w:cs="仿宋_GB2312"/>
          <w:color w:val="auto"/>
          <w:spacing w:val="-2"/>
          <w:kern w:val="2"/>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2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334" w:name="_Toc16699_WPSOffice_Level1"/>
      <w:bookmarkStart w:id="335" w:name="_Toc17166"/>
      <w:bookmarkStart w:id="336" w:name="_Toc13896"/>
      <w:bookmarkStart w:id="337" w:name="_Toc55029270"/>
      <w:bookmarkStart w:id="338" w:name="_Toc4728"/>
      <w:r>
        <w:rPr>
          <w:rFonts w:hint="eastAsia" w:ascii="方正小标宋简体" w:hAnsi="方正小标宋简体" w:eastAsia="方正小标宋简体" w:cs="方正小标宋简体"/>
          <w:b w:val="0"/>
          <w:bCs w:val="0"/>
          <w:color w:val="auto"/>
          <w:sz w:val="36"/>
          <w:szCs w:val="36"/>
          <w:lang w:eastAsia="zh-CN"/>
        </w:rPr>
        <w:t>第七章</w:t>
      </w:r>
      <w:r>
        <w:rPr>
          <w:rFonts w:hint="eastAsia" w:ascii="方正小标宋简体" w:hAnsi="方正小标宋简体" w:eastAsia="方正小标宋简体" w:cs="方正小标宋简体"/>
          <w:b w:val="0"/>
          <w:bCs w:val="0"/>
          <w:color w:val="auto"/>
          <w:sz w:val="36"/>
          <w:szCs w:val="36"/>
          <w:lang w:val="en-US" w:eastAsia="zh-CN"/>
        </w:rPr>
        <w:t xml:space="preserve">  深入</w:t>
      </w:r>
      <w:r>
        <w:rPr>
          <w:rFonts w:hint="eastAsia" w:ascii="方正小标宋简体" w:hAnsi="方正小标宋简体" w:eastAsia="方正小标宋简体" w:cs="方正小标宋简体"/>
          <w:b w:val="0"/>
          <w:bCs w:val="0"/>
          <w:color w:val="auto"/>
          <w:sz w:val="36"/>
          <w:szCs w:val="36"/>
          <w:lang w:eastAsia="zh-CN"/>
        </w:rPr>
        <w:t>践行“两山”理念 打造</w:t>
      </w:r>
      <w:bookmarkEnd w:id="334"/>
      <w:bookmarkEnd w:id="335"/>
      <w:bookmarkEnd w:id="336"/>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2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339" w:name="_Toc21880_WPSOffice_Level2"/>
      <w:bookmarkStart w:id="340" w:name="_Toc11424_WPSOffice_Level2"/>
      <w:bookmarkStart w:id="341" w:name="_Toc12434_WPSOffice_Level2"/>
      <w:bookmarkStart w:id="342" w:name="_Toc29504_WPSOffice_Level2"/>
      <w:bookmarkStart w:id="343" w:name="_Toc27682_WPSOffice_Level2"/>
      <w:bookmarkStart w:id="344" w:name="_Toc1707_WPSOffice_Level2"/>
      <w:bookmarkStart w:id="345" w:name="_Toc371_WPSOffice_Level2"/>
      <w:bookmarkStart w:id="346" w:name="_Toc7885_WPSOffice_Level2"/>
      <w:bookmarkStart w:id="347" w:name="_Toc5131_WPSOffice_Level2"/>
      <w:bookmarkStart w:id="348" w:name="_Toc32666"/>
      <w:bookmarkStart w:id="349" w:name="_Toc6237"/>
      <w:r>
        <w:rPr>
          <w:rFonts w:hint="eastAsia" w:ascii="方正小标宋简体" w:hAnsi="方正小标宋简体" w:eastAsia="方正小标宋简体" w:cs="方正小标宋简体"/>
          <w:b w:val="0"/>
          <w:bCs w:val="0"/>
          <w:color w:val="auto"/>
          <w:sz w:val="36"/>
          <w:szCs w:val="36"/>
          <w:lang w:eastAsia="zh-CN"/>
        </w:rPr>
        <w:t>绿色发展样板区</w:t>
      </w:r>
      <w:bookmarkEnd w:id="337"/>
      <w:bookmarkEnd w:id="338"/>
      <w:bookmarkEnd w:id="339"/>
      <w:bookmarkEnd w:id="340"/>
      <w:bookmarkEnd w:id="341"/>
      <w:bookmarkEnd w:id="342"/>
      <w:bookmarkEnd w:id="343"/>
      <w:bookmarkEnd w:id="344"/>
      <w:bookmarkEnd w:id="345"/>
      <w:bookmarkEnd w:id="346"/>
      <w:bookmarkEnd w:id="347"/>
      <w:bookmarkEnd w:id="348"/>
      <w:bookmarkEnd w:id="349"/>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ascii="黑体" w:hAnsi="黑体" w:eastAsia="黑体" w:cs="仿宋_GB2312"/>
          <w:color w:val="auto"/>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坚持“绿水青山就是金山银山”理念，以“碳达峰、碳中和”为引领，巩固提升国家生态文明建设示范县建设成果，</w:t>
      </w:r>
      <w:r>
        <w:rPr>
          <w:rFonts w:hint="eastAsia" w:ascii="仿宋_GB2312" w:hAnsi="仿宋_GB2312" w:eastAsia="仿宋_GB2312" w:cs="仿宋_GB2312"/>
          <w:color w:val="auto"/>
          <w:sz w:val="32"/>
          <w:szCs w:val="32"/>
          <w:lang w:val="en-US" w:eastAsia="zh-CN"/>
        </w:rPr>
        <w:t>创建</w:t>
      </w:r>
      <w:r>
        <w:rPr>
          <w:rFonts w:hint="eastAsia" w:ascii="仿宋_GB2312" w:hAnsi="仿宋_GB2312" w:eastAsia="仿宋_GB2312" w:cs="仿宋_GB2312"/>
          <w:color w:val="auto"/>
          <w:sz w:val="32"/>
          <w:szCs w:val="32"/>
        </w:rPr>
        <w:t>全国“绿水青山就是金山银山”实践创新基地，厚植高质量发展新优势，实现生态保护与生态价值互促共赢。</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0" w:firstLine="643" w:firstLineChars="200"/>
        <w:jc w:val="center"/>
        <w:textAlignment w:val="auto"/>
        <w:outlineLvl w:val="1"/>
        <w:rPr>
          <w:rFonts w:ascii="仿宋_GB2312" w:hAnsi="仿宋_GB2312" w:eastAsia="仿宋_GB2312" w:cs="仿宋_GB2312"/>
          <w:b/>
          <w:bCs/>
          <w:color w:val="auto"/>
        </w:rPr>
      </w:pPr>
    </w:p>
    <w:p>
      <w:pPr>
        <w:pStyle w:val="2"/>
        <w:ind w:left="0" w:leftChars="0" w:firstLine="0" w:firstLineChars="0"/>
        <w:jc w:val="center"/>
        <w:outlineLvl w:val="1"/>
        <w:rPr>
          <w:rFonts w:ascii="仿宋_GB2312" w:hAnsi="仿宋_GB2312" w:eastAsia="仿宋_GB2312" w:cs="仿宋_GB2312"/>
          <w:b/>
          <w:bCs/>
          <w:color w:val="auto"/>
        </w:rPr>
      </w:pPr>
      <w:bookmarkStart w:id="350" w:name="_Toc5970_WPSOffice_Level2"/>
      <w:r>
        <w:rPr>
          <w:rFonts w:hint="eastAsia" w:ascii="仿宋_GB2312" w:hAnsi="仿宋_GB2312" w:eastAsia="仿宋_GB2312" w:cs="仿宋_GB2312"/>
          <w:b/>
          <w:bCs/>
          <w:color w:val="auto"/>
        </w:rPr>
        <w:t>第一节  坚持保护环境不动摇</w:t>
      </w:r>
      <w:bookmarkEnd w:id="350"/>
    </w:p>
    <w:p>
      <w:pPr>
        <w:pStyle w:val="2"/>
        <w:keepNext w:val="0"/>
        <w:keepLines w:val="0"/>
        <w:pageBreakBefore w:val="0"/>
        <w:widowControl w:val="0"/>
        <w:kinsoku/>
        <w:wordWrap/>
        <w:overflowPunct/>
        <w:topLinePunct w:val="0"/>
        <w:autoSpaceDE w:val="0"/>
        <w:autoSpaceDN w:val="0"/>
        <w:bidi w:val="0"/>
        <w:adjustRightInd w:val="0"/>
        <w:snapToGrid/>
        <w:spacing w:line="260" w:lineRule="exact"/>
        <w:ind w:left="0" w:firstLine="640" w:firstLineChars="200"/>
        <w:textAlignment w:val="auto"/>
        <w:outlineLvl w:val="1"/>
        <w:rPr>
          <w:rFonts w:ascii="仿宋_GB2312" w:hAnsi="仿宋_GB2312" w:eastAsia="仿宋_GB2312" w:cs="仿宋_GB2312"/>
          <w:color w:val="auto"/>
        </w:rPr>
      </w:pPr>
    </w:p>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firstLine="640" w:firstLineChars="200"/>
        <w:jc w:val="both"/>
        <w:textAlignment w:val="auto"/>
        <w:outlineLvl w:val="1"/>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zh-CN"/>
        </w:rPr>
        <w:t>坚持不懈抓好污染防治，</w:t>
      </w:r>
      <w:r>
        <w:rPr>
          <w:rFonts w:hint="eastAsia" w:ascii="仿宋_GB2312" w:hAnsi="仿宋_GB2312" w:eastAsia="仿宋_GB2312" w:cs="仿宋_GB2312"/>
          <w:color w:val="auto"/>
        </w:rPr>
        <w:t>深入打好蓝天、碧水、净土三大保卫战。</w:t>
      </w:r>
      <w:r>
        <w:rPr>
          <w:rFonts w:hint="eastAsia" w:ascii="仿宋_GB2312" w:hAnsi="仿宋_GB2312" w:eastAsia="仿宋_GB2312" w:cs="仿宋_GB2312"/>
          <w:color w:val="auto"/>
          <w:lang w:val="zh-CN"/>
        </w:rPr>
        <w:t>确保环境质量保持全省领先。</w:t>
      </w:r>
      <w:r>
        <w:rPr>
          <w:rFonts w:hint="eastAsia" w:ascii="仿宋_GB2312" w:hAnsi="楷体_GB2312" w:eastAsia="仿宋_GB2312" w:cs="楷体_GB2312"/>
          <w:color w:val="auto"/>
        </w:rPr>
        <w:t>积极应对气候变化，</w:t>
      </w:r>
      <w:r>
        <w:rPr>
          <w:rFonts w:hint="eastAsia" w:ascii="仿宋_GB2312" w:hAnsi="仿宋_GB2312" w:eastAsia="仿宋_GB2312" w:cs="仿宋_GB2312"/>
          <w:color w:val="auto"/>
        </w:rPr>
        <w:t>严格落实控煤、控气、控车、控尘、控烧“五控”措施，</w:t>
      </w:r>
      <w:r>
        <w:rPr>
          <w:rFonts w:hint="eastAsia" w:eastAsia="仿宋_GB2312"/>
          <w:color w:val="auto"/>
        </w:rPr>
        <w:t>持续推进工业大气污染源全面达标排放治理和重点行业大气污染治理升级，</w:t>
      </w:r>
      <w:r>
        <w:rPr>
          <w:rFonts w:hint="eastAsia" w:ascii="仿宋_GB2312" w:hAnsi="仿宋_GB2312" w:eastAsia="仿宋_GB2312" w:cs="仿宋_GB2312"/>
          <w:color w:val="auto"/>
        </w:rPr>
        <w:t>加快推进化工企业绿色化改造，</w:t>
      </w:r>
      <w:r>
        <w:rPr>
          <w:rFonts w:hint="eastAsia" w:eastAsia="仿宋_GB2312"/>
          <w:color w:val="auto"/>
        </w:rPr>
        <w:t>全面整治大气污染。</w:t>
      </w:r>
      <w:r>
        <w:rPr>
          <w:rFonts w:hint="eastAsia" w:ascii="仿宋_GB2312" w:hAnsi="仿宋_GB2312" w:eastAsia="仿宋_GB2312" w:cs="仿宋_GB2312"/>
          <w:color w:val="auto"/>
          <w:lang w:val="zh-CN"/>
        </w:rPr>
        <w:t>持续实施城镇污水处理提质增效行动，</w:t>
      </w:r>
      <w:r>
        <w:rPr>
          <w:rFonts w:hint="eastAsia" w:ascii="仿宋_GB2312" w:hAnsi="仿宋_GB2312" w:eastAsia="仿宋_GB2312" w:cs="仿宋_GB2312"/>
          <w:color w:val="auto"/>
        </w:rPr>
        <w:t>有序推进农村污水治理，</w:t>
      </w:r>
      <w:r>
        <w:rPr>
          <w:rFonts w:hint="eastAsia" w:eastAsia="仿宋_GB2312"/>
          <w:color w:val="auto"/>
        </w:rPr>
        <w:t>提高农村分散污水处理设施覆盖率、使用率。</w:t>
      </w:r>
      <w:r>
        <w:rPr>
          <w:rFonts w:hint="eastAsia" w:ascii="仿宋_GB2312" w:hAnsi="仿宋_GB2312" w:eastAsia="仿宋_GB2312" w:cs="仿宋_GB2312"/>
          <w:color w:val="auto"/>
        </w:rPr>
        <w:t>深入开展山核桃林地生态治理攻坚行动，</w:t>
      </w:r>
      <w:r>
        <w:rPr>
          <w:rFonts w:hint="eastAsia" w:eastAsia="仿宋_GB2312"/>
          <w:color w:val="auto"/>
        </w:rPr>
        <w:t>建立全县耕地土壤环境质量档案和分类清单，实施农用地分类保护与治理，持续推进化肥农药减量化</w:t>
      </w:r>
      <w:r>
        <w:rPr>
          <w:rFonts w:hint="eastAsia" w:eastAsia="仿宋_GB2312"/>
          <w:color w:val="auto"/>
          <w:lang w:eastAsia="zh-CN"/>
        </w:rPr>
        <w:t>。</w:t>
      </w:r>
      <w:r>
        <w:rPr>
          <w:rFonts w:hint="eastAsia" w:eastAsia="仿宋_GB2312"/>
          <w:color w:val="auto"/>
          <w:lang w:val="en-US" w:eastAsia="zh-CN"/>
        </w:rPr>
        <w:t>全力推进垃圾分类治理。</w:t>
      </w:r>
      <w:r>
        <w:rPr>
          <w:rFonts w:hint="eastAsia" w:ascii="仿宋_GB2312" w:hAnsi="仿宋_GB2312" w:eastAsia="仿宋_GB2312" w:cs="仿宋_GB2312"/>
          <w:color w:val="auto"/>
        </w:rPr>
        <w:t>完善能源消费总量和强度“双控”制度</w:t>
      </w:r>
      <w:r>
        <w:rPr>
          <w:rFonts w:hint="eastAsia" w:ascii="仿宋_GB2312" w:hAnsi="仿宋_GB2312" w:eastAsia="仿宋_GB2312" w:cs="仿宋_GB2312"/>
          <w:color w:val="auto"/>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0" w:firstLine="640" w:firstLineChars="200"/>
        <w:jc w:val="both"/>
        <w:textAlignment w:val="auto"/>
        <w:outlineLvl w:val="1"/>
        <w:rPr>
          <w:rFonts w:hint="eastAsia" w:ascii="仿宋_GB2312" w:hAnsi="仿宋_GB2312" w:eastAsia="仿宋_GB2312" w:cs="仿宋_GB2312"/>
          <w:color w:val="auto"/>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0" w:firstLineChars="0"/>
        <w:jc w:val="center"/>
        <w:textAlignment w:val="auto"/>
        <w:outlineLvl w:val="1"/>
        <w:rPr>
          <w:rFonts w:ascii="仿宋_GB2312" w:hAnsi="仿宋_GB2312" w:eastAsia="仿宋_GB2312" w:cs="仿宋_GB2312"/>
          <w:b/>
          <w:bCs/>
          <w:color w:val="auto"/>
          <w:sz w:val="32"/>
          <w:szCs w:val="32"/>
        </w:rPr>
      </w:pPr>
      <w:bookmarkStart w:id="351" w:name="_Toc15641_WPSOffice_Level2"/>
      <w:r>
        <w:rPr>
          <w:rFonts w:hint="eastAsia" w:ascii="仿宋_GB2312" w:hAnsi="仿宋_GB2312" w:eastAsia="仿宋_GB2312" w:cs="仿宋_GB2312"/>
          <w:b/>
          <w:bCs/>
          <w:color w:val="auto"/>
          <w:sz w:val="32"/>
          <w:szCs w:val="32"/>
        </w:rPr>
        <w:t>第二节  夯实绿色生态本底</w:t>
      </w:r>
      <w:bookmarkEnd w:id="351"/>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1"/>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推进生态文明建设治理能力现代化，巩固深化“生态美超市”建设成果，推动</w:t>
      </w:r>
      <w:r>
        <w:rPr>
          <w:rFonts w:hint="eastAsia" w:ascii="仿宋_GB2312" w:hAnsi="仿宋_GB2312" w:eastAsia="仿宋_GB2312" w:cs="仿宋_GB2312"/>
          <w:color w:val="auto"/>
          <w:sz w:val="32"/>
          <w:szCs w:val="32"/>
          <w:lang w:val="zh-CN"/>
        </w:rPr>
        <w:t>生态环保理念深入人心。</w:t>
      </w:r>
      <w:r>
        <w:rPr>
          <w:rFonts w:hint="eastAsia" w:ascii="仿宋_GB2312" w:hAnsi="仿宋_GB2312" w:eastAsia="仿宋_GB2312" w:cs="仿宋_GB2312"/>
          <w:color w:val="auto"/>
          <w:sz w:val="32"/>
          <w:szCs w:val="32"/>
        </w:rPr>
        <w:t>健全“五绿”体制机制，全面深入推进全国林长制改革示范区建设，大力建设全省林长制改革示范区先行区。加快推进生态保护体系建设，严格落实各项政策，加强清凉峰国家级自然保护区、龙川国家级风景名胜区、鄣山、翚溪省级森林公园生态保护工作，加强公益林、天然林管护；加快推进生态修复体系建设，深化和拓展“林业增绿增效”和“四旁四边四创”绿化提升行动；加快推进生态安全体系建设，加强森林防火和林业有害生物防治；加快推进生态服务体系建设，深化集体林权制度配套改革。实施绿色矿山行动计划，推动矿山生态治理修复。深化河长制改革，持续加强河道综合治理，保护渔业资源，提升水生态系统服务功能，持续推进节水型社会建设，构建水资源高效利用、水生态系统修复、水环境综合治理、水灾害科学防治体系，努力实现水清、岸绿、河畅、鱼跃、景美新局面。</w:t>
      </w:r>
    </w:p>
    <w:p>
      <w:pPr>
        <w:spacing w:line="600" w:lineRule="exact"/>
        <w:ind w:left="0" w:leftChars="0" w:firstLine="0" w:firstLineChars="0"/>
        <w:jc w:val="center"/>
        <w:outlineLvl w:val="1"/>
        <w:rPr>
          <w:rFonts w:ascii="仿宋_GB2312" w:hAnsi="仿宋_GB2312" w:eastAsia="仿宋_GB2312" w:cs="仿宋_GB2312"/>
          <w:b/>
          <w:bCs/>
          <w:color w:val="auto"/>
          <w:sz w:val="32"/>
          <w:szCs w:val="32"/>
        </w:rPr>
      </w:pPr>
      <w:bookmarkStart w:id="352" w:name="_Toc9014_WPSOffice_Level2"/>
      <w:r>
        <w:rPr>
          <w:rFonts w:hint="eastAsia" w:ascii="仿宋_GB2312" w:hAnsi="仿宋_GB2312" w:eastAsia="仿宋_GB2312" w:cs="仿宋_GB2312"/>
          <w:b/>
          <w:bCs/>
          <w:color w:val="auto"/>
          <w:sz w:val="32"/>
          <w:szCs w:val="32"/>
        </w:rPr>
        <w:t>第三节  拓宽“两山”转化通道</w:t>
      </w:r>
      <w:bookmarkEnd w:id="352"/>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outlineLvl w:val="1"/>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围绕“把生态保护好，把生态优势发挥出来”的要求，制定生态环保推动经济高质量发展实施意见，推动生态优势向发展优势转化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大力推进新安江—千岛湖生态补偿试验区建设，深入推进新安江流域生态补偿机制“十大工程”，</w:t>
      </w:r>
      <w:r>
        <w:rPr>
          <w:rFonts w:hint="eastAsia" w:ascii="仿宋_GB2312" w:hAnsi="仿宋_GB2312" w:eastAsia="仿宋_GB2312" w:cs="仿宋_GB2312"/>
          <w:color w:val="auto"/>
          <w:sz w:val="32"/>
          <w:szCs w:val="32"/>
        </w:rPr>
        <w:t>探索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杭州市场+绩溪产品”“杭州总部+绩溪基地”“杭州研发+绩溪制造”等协作合作模式，深化技术支持、产业转移、人才交流、园区共建，</w:t>
      </w:r>
      <w:r>
        <w:rPr>
          <w:rFonts w:hint="eastAsia" w:ascii="仿宋_GB2312" w:hAnsi="仿宋_GB2312" w:eastAsia="仿宋_GB2312" w:cs="仿宋_GB2312"/>
          <w:color w:val="auto"/>
          <w:sz w:val="32"/>
          <w:szCs w:val="32"/>
        </w:rPr>
        <w:t>加快建设山水相济、人文共美的新安江生态经济示范区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全面落实</w:t>
      </w:r>
      <w:r>
        <w:rPr>
          <w:rFonts w:hint="eastAsia" w:ascii="仿宋_GB2312" w:hAnsi="仿宋_GB2312" w:eastAsia="仿宋_GB2312" w:cs="仿宋_GB2312"/>
          <w:color w:val="auto"/>
          <w:sz w:val="32"/>
          <w:szCs w:val="32"/>
        </w:rPr>
        <w:t>生态产业化、产业生态化，</w:t>
      </w:r>
      <w:r>
        <w:rPr>
          <w:rFonts w:hint="eastAsia" w:ascii="仿宋_GB2312" w:hAnsi="仿宋_GB2312" w:eastAsia="仿宋_GB2312" w:cs="仿宋_GB2312"/>
          <w:color w:val="auto"/>
          <w:sz w:val="32"/>
          <w:szCs w:val="32"/>
          <w:lang w:val="en-US" w:eastAsia="zh-CN"/>
        </w:rPr>
        <w:t>发展</w:t>
      </w:r>
      <w:r>
        <w:rPr>
          <w:rFonts w:hint="eastAsia" w:ascii="仿宋_GB2312" w:hAnsi="仿宋_GB2312" w:eastAsia="仿宋_GB2312" w:cs="仿宋_GB2312"/>
          <w:color w:val="auto"/>
          <w:sz w:val="32"/>
          <w:szCs w:val="32"/>
        </w:rPr>
        <w:t>多种形式生态价值实现路径，加快构建绿色创新体系和绿色产业体系，持续壮大美丽经济。建立以林业金融体制机制创新为引领的林业生态经济体系和发展模式，加快森林旅游、健康养老等绿色产业发展。践行绿色循环、低碳发展理念，完善生态经济制度体系，着力打造绿色产品、绿色工厂、绿色园区、绿色供应链四位一体的绿色制造新体系。</w:t>
      </w:r>
    </w:p>
    <w:p>
      <w:pPr>
        <w:pStyle w:val="2"/>
        <w:keepNext w:val="0"/>
        <w:keepLines w:val="0"/>
        <w:pageBreakBefore w:val="0"/>
        <w:widowControl w:val="0"/>
        <w:kinsoku/>
        <w:wordWrap/>
        <w:overflowPunct/>
        <w:topLinePunct w:val="0"/>
        <w:autoSpaceDE w:val="0"/>
        <w:autoSpaceDN w:val="0"/>
        <w:bidi w:val="0"/>
        <w:adjustRightInd w:val="0"/>
        <w:snapToGrid/>
        <w:spacing w:line="240" w:lineRule="exact"/>
        <w:ind w:left="0"/>
        <w:jc w:val="center"/>
        <w:textAlignment w:val="auto"/>
        <w:outlineLvl w:val="1"/>
        <w:rPr>
          <w:rFonts w:hint="eastAsia" w:ascii="仿宋_GB2312" w:hAnsi="仿宋_GB2312" w:eastAsia="仿宋_GB2312" w:cs="仿宋_GB2312"/>
          <w:b/>
          <w:bCs/>
          <w:color w:val="auto"/>
          <w:spacing w:val="-2"/>
          <w:kern w:val="2"/>
        </w:rPr>
      </w:pPr>
    </w:p>
    <w:p>
      <w:pPr>
        <w:pStyle w:val="2"/>
        <w:ind w:left="0"/>
        <w:jc w:val="center"/>
        <w:outlineLvl w:val="1"/>
        <w:rPr>
          <w:rFonts w:ascii="仿宋_GB2312" w:hAnsi="仿宋_GB2312" w:eastAsia="仿宋_GB2312" w:cs="仿宋_GB2312"/>
          <w:b/>
          <w:bCs/>
          <w:color w:val="auto"/>
          <w:spacing w:val="-2"/>
          <w:kern w:val="2"/>
        </w:rPr>
      </w:pPr>
      <w:bookmarkStart w:id="353" w:name="_Toc16952_WPSOffice_Level2"/>
      <w:r>
        <w:rPr>
          <w:rFonts w:hint="eastAsia" w:ascii="仿宋_GB2312" w:hAnsi="仿宋_GB2312" w:eastAsia="仿宋_GB2312" w:cs="仿宋_GB2312"/>
          <w:b/>
          <w:bCs/>
          <w:color w:val="auto"/>
          <w:spacing w:val="-2"/>
          <w:kern w:val="2"/>
        </w:rPr>
        <w:t>第四节  严格落实生态环境保护责任</w:t>
      </w:r>
      <w:bookmarkEnd w:id="353"/>
    </w:p>
    <w:p>
      <w:pPr>
        <w:pStyle w:val="2"/>
        <w:keepNext w:val="0"/>
        <w:keepLines w:val="0"/>
        <w:pageBreakBefore w:val="0"/>
        <w:widowControl w:val="0"/>
        <w:kinsoku/>
        <w:wordWrap/>
        <w:overflowPunct/>
        <w:topLinePunct w:val="0"/>
        <w:autoSpaceDE w:val="0"/>
        <w:autoSpaceDN w:val="0"/>
        <w:bidi w:val="0"/>
        <w:adjustRightInd w:val="0"/>
        <w:snapToGrid/>
        <w:spacing w:line="300" w:lineRule="exact"/>
        <w:ind w:left="0" w:firstLine="632" w:firstLineChars="200"/>
        <w:jc w:val="both"/>
        <w:textAlignment w:val="auto"/>
        <w:outlineLvl w:val="1"/>
        <w:rPr>
          <w:rFonts w:ascii="仿宋_GB2312" w:hAnsi="仿宋_GB2312" w:eastAsia="仿宋_GB2312" w:cs="仿宋_GB2312"/>
          <w:color w:val="auto"/>
          <w:spacing w:val="-2"/>
          <w:kern w:val="2"/>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firstLine="632" w:firstLineChars="200"/>
        <w:jc w:val="both"/>
        <w:textAlignment w:val="auto"/>
        <w:outlineLvl w:val="1"/>
        <w:rPr>
          <w:rFonts w:hint="eastAsia" w:ascii="仿宋_GB2312" w:hAnsi="仿宋_GB2312" w:eastAsia="仿宋_GB2312" w:cs="仿宋_GB2312"/>
          <w:color w:val="auto"/>
          <w:spacing w:val="-2"/>
          <w:kern w:val="2"/>
        </w:rPr>
      </w:pPr>
      <w:r>
        <w:rPr>
          <w:rFonts w:hint="eastAsia" w:ascii="仿宋_GB2312" w:hAnsi="仿宋_GB2312" w:eastAsia="仿宋_GB2312" w:cs="仿宋_GB2312"/>
          <w:color w:val="auto"/>
          <w:spacing w:val="-2"/>
          <w:kern w:val="2"/>
        </w:rPr>
        <w:t>健全以改善生态环境质量为核心的目标责任体系。健全源头预防、过程控制、损害赔偿、责任追究的体系，加快“智慧环保”监管体系、生态环保法治体系建设。强化生态环境保护、自然资源管控、节能降耗减排管理，开展领导干部自然资源资产离任审计，实行党政领导干部生态环境损害责任追究、失职追责和损害担责制度。</w:t>
      </w:r>
    </w:p>
    <w:tbl>
      <w:tblPr>
        <w:tblStyle w:val="14"/>
        <w:tblpPr w:leftFromText="180" w:rightFromText="180" w:vertAnchor="text" w:horzAnchor="page" w:tblpX="1744" w:tblpY="160"/>
        <w:tblOverlap w:val="never"/>
        <w:tblW w:w="8548" w:type="dxa"/>
        <w:tblInd w:w="0" w:type="dxa"/>
        <w:tblLayout w:type="fixed"/>
        <w:tblCellMar>
          <w:top w:w="0" w:type="dxa"/>
          <w:left w:w="108" w:type="dxa"/>
          <w:bottom w:w="0" w:type="dxa"/>
          <w:right w:w="108" w:type="dxa"/>
        </w:tblCellMar>
      </w:tblPr>
      <w:tblGrid>
        <w:gridCol w:w="8548"/>
      </w:tblGrid>
      <w:tr>
        <w:tblPrEx>
          <w:tblCellMar>
            <w:top w:w="0" w:type="dxa"/>
            <w:left w:w="108" w:type="dxa"/>
            <w:bottom w:w="0" w:type="dxa"/>
            <w:right w:w="108" w:type="dxa"/>
          </w:tblCellMar>
        </w:tblPrEx>
        <w:trPr>
          <w:trHeight w:val="975" w:hRule="atLeast"/>
        </w:trPr>
        <w:tc>
          <w:tcPr>
            <w:tcW w:w="854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专栏2</w:t>
            </w:r>
            <w:r>
              <w:rPr>
                <w:rFonts w:hint="eastAsia" w:ascii="仿宋_GB2312" w:hAnsi="仿宋_GB2312" w:eastAsia="仿宋_GB2312" w:cs="仿宋_GB2312"/>
                <w:b/>
                <w:color w:val="auto"/>
                <w:sz w:val="28"/>
                <w:szCs w:val="28"/>
                <w:lang w:val="en-US" w:eastAsia="zh-CN"/>
              </w:rPr>
              <w:t>4</w:t>
            </w:r>
            <w:r>
              <w:rPr>
                <w:rFonts w:hint="eastAsia" w:ascii="仿宋_GB2312" w:hAnsi="仿宋_GB2312" w:eastAsia="仿宋_GB2312" w:cs="仿宋_GB2312"/>
                <w:b/>
                <w:color w:val="auto"/>
                <w:sz w:val="28"/>
                <w:szCs w:val="28"/>
              </w:rPr>
              <w:t xml:space="preserve">  现代林业重点工程</w:t>
            </w:r>
          </w:p>
        </w:tc>
      </w:tr>
      <w:tr>
        <w:tblPrEx>
          <w:tblCellMar>
            <w:top w:w="0" w:type="dxa"/>
            <w:left w:w="108" w:type="dxa"/>
            <w:bottom w:w="0" w:type="dxa"/>
            <w:right w:w="108" w:type="dxa"/>
          </w:tblCellMar>
        </w:tblPrEx>
        <w:trPr>
          <w:trHeight w:val="1" w:hRule="atLeast"/>
        </w:trPr>
        <w:tc>
          <w:tcPr>
            <w:tcW w:w="854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护绿工程。</w:t>
            </w:r>
            <w:r>
              <w:rPr>
                <w:rFonts w:hint="eastAsia" w:ascii="仿宋_GB2312" w:hAnsi="仿宋_GB2312" w:eastAsia="仿宋_GB2312" w:cs="仿宋_GB2312"/>
                <w:color w:val="auto"/>
                <w:sz w:val="28"/>
                <w:szCs w:val="28"/>
              </w:rPr>
              <w:t>自然保护地整合优化、公益林和天然林管护、古树名木保护、国家储备林基地建设、森林抚育封山育林退化林修复。</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增绿工程。</w:t>
            </w:r>
            <w:r>
              <w:rPr>
                <w:rFonts w:hint="eastAsia" w:ascii="仿宋_GB2312" w:hAnsi="仿宋_GB2312" w:eastAsia="仿宋_GB2312" w:cs="仿宋_GB2312"/>
                <w:color w:val="auto"/>
                <w:sz w:val="28"/>
                <w:szCs w:val="28"/>
              </w:rPr>
              <w:t>造林绿化攻坚、森林生态廊道、森林城镇（村庄）创建。</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jc w:val="both"/>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管绿工程。</w:t>
            </w:r>
            <w:r>
              <w:rPr>
                <w:rFonts w:hint="eastAsia" w:ascii="仿宋_GB2312" w:hAnsi="仿宋_GB2312" w:eastAsia="仿宋_GB2312" w:cs="仿宋_GB2312"/>
                <w:color w:val="auto"/>
                <w:sz w:val="28"/>
                <w:szCs w:val="28"/>
              </w:rPr>
              <w:t>森林防火、林业有害生物防治、森林资源管理、林长制信息管理平台、林业科技支撑。</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用绿工程。</w:t>
            </w:r>
            <w:r>
              <w:rPr>
                <w:rFonts w:hint="eastAsia" w:ascii="仿宋_GB2312" w:hAnsi="仿宋_GB2312" w:eastAsia="仿宋_GB2312" w:cs="仿宋_GB2312"/>
                <w:color w:val="auto"/>
                <w:sz w:val="28"/>
                <w:szCs w:val="28"/>
              </w:rPr>
              <w:t>木本油料基地建设、林下经济产业建设、林产工业建设、生态旅游产业建设。</w:t>
            </w:r>
          </w:p>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活绿工程。</w:t>
            </w:r>
            <w:r>
              <w:rPr>
                <w:rFonts w:hint="eastAsia" w:ascii="仿宋_GB2312" w:hAnsi="仿宋_GB2312" w:eastAsia="仿宋_GB2312" w:cs="仿宋_GB2312"/>
                <w:color w:val="auto"/>
                <w:sz w:val="28"/>
                <w:szCs w:val="28"/>
              </w:rPr>
              <w:t>林权配套制度改革及服务创新机制、生态文化基地、生态文化活动、现代化国有林场建设。</w:t>
            </w:r>
          </w:p>
        </w:tc>
      </w:tr>
    </w:tbl>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textAlignment w:val="auto"/>
        <w:outlineLvl w:val="1"/>
        <w:rPr>
          <w:rFonts w:ascii="仿宋_GB2312" w:hAnsi="仿宋_GB2312" w:eastAsia="仿宋_GB2312" w:cs="仿宋_GB2312"/>
          <w:color w:val="auto"/>
          <w:sz w:val="32"/>
          <w:szCs w:val="32"/>
        </w:rPr>
      </w:pPr>
    </w:p>
    <w:tbl>
      <w:tblPr>
        <w:tblStyle w:val="14"/>
        <w:tblpPr w:leftFromText="180" w:rightFromText="180" w:vertAnchor="text" w:horzAnchor="page" w:tblpX="1804" w:tblpY="236"/>
        <w:tblOverlap w:val="never"/>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90" w:hRule="atLeast"/>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专栏2</w:t>
            </w:r>
            <w:r>
              <w:rPr>
                <w:rFonts w:hint="eastAsia" w:ascii="仿宋_GB2312" w:hAnsi="仿宋_GB2312" w:eastAsia="仿宋_GB2312" w:cs="仿宋_GB2312"/>
                <w:b/>
                <w:color w:val="auto"/>
                <w:sz w:val="28"/>
                <w:szCs w:val="28"/>
                <w:lang w:val="en-US" w:eastAsia="zh-CN"/>
              </w:rPr>
              <w:t>5</w:t>
            </w:r>
            <w:r>
              <w:rPr>
                <w:rFonts w:hint="eastAsia" w:ascii="仿宋_GB2312" w:hAnsi="仿宋_GB2312" w:eastAsia="仿宋_GB2312" w:cs="仿宋_GB2312"/>
                <w:b/>
                <w:color w:val="auto"/>
                <w:sz w:val="28"/>
                <w:szCs w:val="28"/>
              </w:rPr>
              <w:t xml:space="preserve"> 生态环境重点项目</w:t>
            </w:r>
          </w:p>
        </w:tc>
      </w:tr>
      <w:tr>
        <w:tblPrEx>
          <w:tblCellMar>
            <w:top w:w="0" w:type="dxa"/>
            <w:left w:w="108" w:type="dxa"/>
            <w:bottom w:w="0" w:type="dxa"/>
            <w:right w:w="108" w:type="dxa"/>
          </w:tblCellMar>
        </w:tblPrEx>
        <w:trPr>
          <w:trHeight w:val="4566" w:hRule="atLeast"/>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40" w:lineRule="exact"/>
              <w:ind w:firstLine="560"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绩溪县水生态环境综合治理项目、城乡污水综合治理PPP项目、生活垃圾综合处理PPP项目、建筑垃圾综合处理项目、南郊垃圾填埋场生态修复工程项目、</w:t>
            </w:r>
            <w:r>
              <w:rPr>
                <w:rFonts w:hint="eastAsia" w:ascii="仿宋_GB2312" w:hAnsi="仿宋_GB2312" w:eastAsia="仿宋_GB2312" w:cs="仿宋_GB2312"/>
                <w:color w:val="auto"/>
                <w:sz w:val="28"/>
                <w:szCs w:val="28"/>
                <w:lang w:eastAsia="zh-CN"/>
              </w:rPr>
              <w:t>杭黄、合福</w:t>
            </w:r>
            <w:r>
              <w:rPr>
                <w:rFonts w:hint="eastAsia" w:ascii="仿宋_GB2312" w:hAnsi="仿宋_GB2312" w:eastAsia="仿宋_GB2312" w:cs="仿宋_GB2312"/>
                <w:color w:val="auto"/>
                <w:sz w:val="28"/>
                <w:szCs w:val="28"/>
              </w:rPr>
              <w:t>高铁弃渣场地处置修复项目、城乡垃圾分类处理项目、扬溪源水库饮用水水源保护工程、翚溪河生态修复项目、燃气锅炉低氮改造项目、土壤污染风险管控项目、城市公园及森林康养项目、山核桃林地生态治理项目、省级现代林业示范区建设项目、县环境管理信息化能力建设项目等。</w:t>
            </w:r>
          </w:p>
        </w:tc>
      </w:tr>
    </w:tbl>
    <w:p>
      <w:pPr>
        <w:pStyle w:val="13"/>
        <w:keepNext w:val="0"/>
        <w:keepLines w:val="0"/>
        <w:pageBreakBefore w:val="0"/>
        <w:widowControl/>
        <w:kinsoku/>
        <w:wordWrap/>
        <w:overflowPunct/>
        <w:topLinePunct w:val="0"/>
        <w:autoSpaceDE/>
        <w:autoSpaceDN/>
        <w:bidi w:val="0"/>
        <w:adjustRightInd/>
        <w:snapToGrid/>
        <w:spacing w:beforeAutospacing="0" w:afterAutospacing="0" w:line="240" w:lineRule="exact"/>
        <w:ind w:firstLine="0" w:firstLineChars="0"/>
        <w:textAlignment w:val="auto"/>
        <w:outlineLvl w:val="1"/>
        <w:rPr>
          <w:rFonts w:eastAsia="仿宋_GB2312" w:cs="仿宋_GB2312" w:asciiTheme="minorHAnsi" w:hAnsiTheme="minorHAnsi"/>
          <w:color w:val="auto"/>
          <w:kern w:val="2"/>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2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354" w:name="_Toc27542"/>
      <w:bookmarkStart w:id="355" w:name="_Toc21385"/>
      <w:bookmarkStart w:id="356" w:name="_Toc19573_WPSOffice_Level1"/>
      <w:bookmarkStart w:id="357" w:name="_Toc22495"/>
      <w:r>
        <w:rPr>
          <w:rFonts w:hint="eastAsia" w:ascii="方正小标宋简体" w:hAnsi="方正小标宋简体" w:eastAsia="方正小标宋简体" w:cs="方正小标宋简体"/>
          <w:b w:val="0"/>
          <w:bCs w:val="0"/>
          <w:color w:val="auto"/>
          <w:sz w:val="36"/>
          <w:szCs w:val="36"/>
          <w:lang w:eastAsia="zh-CN"/>
        </w:rPr>
        <w:t>第八章</w:t>
      </w:r>
      <w:r>
        <w:rPr>
          <w:rFonts w:hint="eastAsia" w:ascii="方正小标宋简体" w:hAnsi="方正小标宋简体" w:eastAsia="方正小标宋简体" w:cs="方正小标宋简体"/>
          <w:b w:val="0"/>
          <w:bCs w:val="0"/>
          <w:color w:val="auto"/>
          <w:sz w:val="36"/>
          <w:szCs w:val="36"/>
          <w:lang w:val="en-US" w:eastAsia="zh-CN"/>
        </w:rPr>
        <w:t xml:space="preserve">  </w:t>
      </w:r>
      <w:r>
        <w:rPr>
          <w:rFonts w:hint="eastAsia" w:ascii="方正小标宋简体" w:hAnsi="方正小标宋简体" w:eastAsia="方正小标宋简体" w:cs="方正小标宋简体"/>
          <w:b w:val="0"/>
          <w:bCs w:val="0"/>
          <w:color w:val="auto"/>
          <w:sz w:val="36"/>
          <w:szCs w:val="36"/>
          <w:lang w:eastAsia="zh-CN"/>
        </w:rPr>
        <w:t>全面深化改革开放 切实</w:t>
      </w:r>
      <w:bookmarkEnd w:id="354"/>
      <w:bookmarkEnd w:id="355"/>
      <w:bookmarkEnd w:id="356"/>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2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358" w:name="_Toc4650"/>
      <w:bookmarkStart w:id="359" w:name="_Toc4884_WPSOffice_Level2"/>
      <w:bookmarkStart w:id="360" w:name="_Toc2819_WPSOffice_Level2"/>
      <w:bookmarkStart w:id="361" w:name="_Toc30628_WPSOffice_Level2"/>
      <w:bookmarkStart w:id="362" w:name="_Toc12094"/>
      <w:bookmarkStart w:id="363" w:name="_Toc10773_WPSOffice_Level2"/>
      <w:bookmarkStart w:id="364" w:name="_Toc9252_WPSOffice_Level2"/>
      <w:bookmarkStart w:id="365" w:name="_Toc27556_WPSOffice_Level2"/>
      <w:bookmarkStart w:id="366" w:name="_Toc11092_WPSOffice_Level2"/>
      <w:bookmarkStart w:id="367" w:name="_Toc11653_WPSOffice_Level2"/>
      <w:bookmarkStart w:id="368" w:name="_Toc3968_WPSOffice_Level2"/>
      <w:r>
        <w:rPr>
          <w:rFonts w:hint="eastAsia" w:ascii="方正小标宋简体" w:hAnsi="方正小标宋简体" w:eastAsia="方正小标宋简体" w:cs="方正小标宋简体"/>
          <w:b w:val="0"/>
          <w:bCs w:val="0"/>
          <w:color w:val="auto"/>
          <w:sz w:val="36"/>
          <w:szCs w:val="36"/>
          <w:lang w:eastAsia="zh-CN"/>
        </w:rPr>
        <w:t>增强发展内生动力</w:t>
      </w:r>
      <w:bookmarkEnd w:id="357"/>
      <w:bookmarkEnd w:id="358"/>
      <w:bookmarkEnd w:id="359"/>
      <w:bookmarkEnd w:id="360"/>
      <w:bookmarkEnd w:id="361"/>
      <w:bookmarkEnd w:id="362"/>
      <w:bookmarkEnd w:id="363"/>
      <w:bookmarkEnd w:id="364"/>
      <w:bookmarkEnd w:id="365"/>
      <w:bookmarkEnd w:id="366"/>
      <w:bookmarkEnd w:id="367"/>
      <w:bookmarkEnd w:id="368"/>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40"/>
          <w:szCs w:val="40"/>
          <w:lang w:eastAsia="zh-CN"/>
        </w:rPr>
      </w:pPr>
    </w:p>
    <w:p>
      <w:pPr>
        <w:pageBreakBefore w:val="0"/>
        <w:widowControl w:val="0"/>
        <w:kinsoku/>
        <w:wordWrap/>
        <w:overflowPunct/>
        <w:topLinePunct w:val="0"/>
        <w:bidi w:val="0"/>
        <w:snapToGrid/>
        <w:spacing w:line="560" w:lineRule="exact"/>
        <w:ind w:firstLine="632" w:firstLineChars="200"/>
        <w:textAlignment w:val="auto"/>
        <w:outlineLvl w:val="1"/>
        <w:rPr>
          <w:rFonts w:hint="eastAsia" w:ascii="仿宋_GB2312" w:hAnsi="仿宋_GB2312" w:eastAsia="仿宋_GB2312" w:cs="仿宋_GB2312"/>
          <w:color w:val="auto"/>
          <w:spacing w:val="-2"/>
          <w:sz w:val="32"/>
          <w:szCs w:val="32"/>
        </w:rPr>
      </w:pPr>
      <w:r>
        <w:rPr>
          <w:rFonts w:hint="eastAsia" w:ascii="仿宋_GB2312" w:hAnsi="仿宋_GB2312" w:eastAsia="仿宋_GB2312" w:cs="仿宋_GB2312"/>
          <w:color w:val="auto"/>
          <w:spacing w:val="-2"/>
          <w:sz w:val="32"/>
          <w:szCs w:val="32"/>
        </w:rPr>
        <w:t>主动融入国家“一带一路”“长江经济带”等发展战略，抢抓长三角一体化高质量发展战略机遇，着眼于“融杭接沪联黄”，实行更深层次的对外开放，加快构建高水平市场经济体制，构筑县域经济高质量发展的强劲动力。</w:t>
      </w:r>
    </w:p>
    <w:p>
      <w:pPr>
        <w:pStyle w:val="2"/>
        <w:rPr>
          <w:rFonts w:hint="eastAsia"/>
        </w:rPr>
      </w:pPr>
    </w:p>
    <w:p>
      <w:pPr>
        <w:pStyle w:val="4"/>
        <w:pageBreakBefore w:val="0"/>
        <w:widowControl w:val="0"/>
        <w:kinsoku/>
        <w:wordWrap/>
        <w:overflowPunct/>
        <w:topLinePunct w:val="0"/>
        <w:bidi w:val="0"/>
        <w:snapToGrid/>
        <w:spacing w:before="0" w:after="0" w:line="560" w:lineRule="exact"/>
        <w:jc w:val="center"/>
        <w:textAlignment w:val="auto"/>
        <w:outlineLvl w:val="1"/>
        <w:rPr>
          <w:rFonts w:ascii="仿宋_GB2312" w:hAnsi="楷体" w:eastAsia="仿宋_GB2312"/>
          <w:color w:val="auto"/>
          <w:szCs w:val="30"/>
        </w:rPr>
      </w:pPr>
      <w:bookmarkStart w:id="369" w:name="_Toc28446"/>
      <w:bookmarkStart w:id="370" w:name="_Toc20939"/>
      <w:bookmarkStart w:id="371" w:name="_Toc24974"/>
      <w:bookmarkStart w:id="372" w:name="_Toc14593_WPSOffice_Level2"/>
      <w:r>
        <w:rPr>
          <w:rFonts w:hint="eastAsia" w:ascii="仿宋_GB2312" w:hAnsi="楷体" w:eastAsia="仿宋_GB2312"/>
          <w:color w:val="auto"/>
          <w:szCs w:val="30"/>
        </w:rPr>
        <w:t>第一节  深度融入长三角一体化发展</w:t>
      </w:r>
      <w:bookmarkEnd w:id="369"/>
      <w:bookmarkEnd w:id="370"/>
      <w:bookmarkEnd w:id="371"/>
      <w:bookmarkEnd w:id="372"/>
    </w:p>
    <w:p>
      <w:pPr>
        <w:keepNext w:val="0"/>
        <w:keepLines w:val="0"/>
        <w:pageBreakBefore w:val="0"/>
        <w:widowControl w:val="0"/>
        <w:kinsoku/>
        <w:wordWrap/>
        <w:overflowPunct/>
        <w:topLinePunct w:val="0"/>
        <w:autoSpaceDE/>
        <w:autoSpaceDN/>
        <w:bidi w:val="0"/>
        <w:adjustRightInd/>
        <w:snapToGrid/>
        <w:spacing w:line="400" w:lineRule="exact"/>
        <w:ind w:firstLine="800" w:firstLineChars="250"/>
        <w:jc w:val="center"/>
        <w:textAlignment w:val="auto"/>
        <w:outlineLvl w:val="1"/>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两区一地”发展定位，以融入杭州都市圈为契机，深化“融杭接沪”一体化发展路径，推进规划对接、产业对接、机制对接，强化互动交流和区域合作。对标沪苏浙在创新体制机制、提高政务效能等方面的成熟做法、先进经验，加快建立与沪苏浙匹配衔接、标准一致的制度机制。积极探索省际毗邻区域协同发展新机制，积极推进杭黄世界级自然生态和文化旅游廊道、新安江—千岛湖生态补偿试验区建设，在产业协同、创新共育、生态共保、协力发展生态经济和文旅产业等方面全面合作、协同发展，深度谋划实施一批重点项目，力争更多上级支持政策惠及绩溪。主动参与长三角区域内产业发展分工，以杭州都市圈为重点，强化与沪苏浙地区产业对接，持续加大主导产业招商引资力度，探索产业园区合作共建新模式，推进以商招商、专业招商、产业链招商。谋划打造“一地六县”长三角生态优先绿色发展产业集中合作区联动发展区。以文化旅游合作为切入点，强化与黄山联动，合作共建皖南国际文化旅游示范区、国家级徽州文化生态保护实验区，积极参与打造新安江生态经济示范区，深度融入杭黄绿色产业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ascii="仿宋_GB2312" w:hAnsi="Calibri" w:eastAsia="仿宋_GB2312" w:cs="Times New Roman"/>
          <w:color w:val="auto"/>
          <w:spacing w:val="4"/>
          <w:sz w:val="32"/>
          <w:szCs w:val="32"/>
        </w:rPr>
      </w:pPr>
    </w:p>
    <w:tbl>
      <w:tblPr>
        <w:tblStyle w:val="14"/>
        <w:tblW w:w="8520" w:type="dxa"/>
        <w:jc w:val="center"/>
        <w:tblLayout w:type="fixed"/>
        <w:tblCellMar>
          <w:top w:w="0" w:type="dxa"/>
          <w:left w:w="108" w:type="dxa"/>
          <w:bottom w:w="0" w:type="dxa"/>
          <w:right w:w="108" w:type="dxa"/>
        </w:tblCellMar>
      </w:tblPr>
      <w:tblGrid>
        <w:gridCol w:w="8520"/>
      </w:tblGrid>
      <w:tr>
        <w:tblPrEx>
          <w:tblCellMar>
            <w:top w:w="0" w:type="dxa"/>
            <w:left w:w="108" w:type="dxa"/>
            <w:bottom w:w="0" w:type="dxa"/>
            <w:right w:w="108" w:type="dxa"/>
          </w:tblCellMar>
        </w:tblPrEx>
        <w:trPr>
          <w:trHeight w:val="882" w:hRule="atLeast"/>
          <w:jc w:val="center"/>
        </w:trPr>
        <w:tc>
          <w:tcPr>
            <w:tcW w:w="85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hint="default" w:ascii="宋体" w:hAnsi="Calibri" w:eastAsia="宋体" w:cs="宋体"/>
                <w:color w:val="auto"/>
                <w:kern w:val="0"/>
                <w:sz w:val="24"/>
                <w:lang w:val="en-US"/>
              </w:rPr>
            </w:pPr>
            <w:bookmarkStart w:id="373" w:name="_Toc27104"/>
            <w:bookmarkStart w:id="374" w:name="_Toc20317"/>
            <w:bookmarkStart w:id="375" w:name="_Toc32382"/>
            <w:r>
              <w:rPr>
                <w:rFonts w:hint="eastAsia" w:ascii="仿宋" w:hAnsi="仿宋" w:eastAsia="仿宋"/>
                <w:b/>
                <w:color w:val="auto"/>
                <w:sz w:val="28"/>
                <w:szCs w:val="28"/>
              </w:rPr>
              <w:t>专栏</w:t>
            </w:r>
            <w:r>
              <w:rPr>
                <w:rFonts w:hint="eastAsia" w:ascii="仿宋" w:hAnsi="仿宋" w:eastAsia="仿宋"/>
                <w:b/>
                <w:color w:val="auto"/>
                <w:sz w:val="28"/>
                <w:szCs w:val="28"/>
                <w:lang w:val="en-US" w:eastAsia="zh-CN"/>
              </w:rPr>
              <w:t>26</w:t>
            </w:r>
            <w:r>
              <w:rPr>
                <w:rFonts w:hint="eastAsia" w:ascii="仿宋" w:hAnsi="仿宋" w:eastAsia="仿宋"/>
                <w:b/>
                <w:color w:val="auto"/>
                <w:sz w:val="28"/>
                <w:szCs w:val="28"/>
              </w:rPr>
              <w:t xml:space="preserve">  </w:t>
            </w:r>
            <w:r>
              <w:rPr>
                <w:rFonts w:hint="eastAsia" w:ascii="仿宋" w:hAnsi="仿宋" w:eastAsia="仿宋"/>
                <w:b/>
                <w:color w:val="auto"/>
                <w:sz w:val="28"/>
                <w:szCs w:val="28"/>
                <w:lang w:val="en-US" w:eastAsia="zh-CN"/>
              </w:rPr>
              <w:t>杭黄世界级自然生态和文化旅游廊道</w:t>
            </w:r>
          </w:p>
        </w:tc>
      </w:tr>
      <w:tr>
        <w:tblPrEx>
          <w:tblCellMar>
            <w:top w:w="0" w:type="dxa"/>
            <w:left w:w="108" w:type="dxa"/>
            <w:bottom w:w="0" w:type="dxa"/>
            <w:right w:w="108" w:type="dxa"/>
          </w:tblCellMar>
        </w:tblPrEx>
        <w:trPr>
          <w:trHeight w:val="2787" w:hRule="atLeast"/>
          <w:jc w:val="center"/>
        </w:trPr>
        <w:tc>
          <w:tcPr>
            <w:tcW w:w="8520" w:type="dxa"/>
            <w:tcBorders>
              <w:top w:val="single" w:color="000000" w:sz="2" w:space="0"/>
              <w:left w:val="single" w:color="000000" w:sz="2" w:space="0"/>
              <w:bottom w:val="single" w:color="000000" w:sz="2" w:space="0"/>
              <w:right w:val="single" w:color="000000" w:sz="2" w:space="0"/>
            </w:tcBorders>
            <w:shd w:val="clear" w:color="000000" w:fill="FFFFFF"/>
          </w:tcPr>
          <w:p>
            <w:pPr>
              <w:pStyle w:val="2"/>
              <w:spacing w:line="600" w:lineRule="exact"/>
              <w:ind w:left="0" w:firstLine="562" w:firstLineChars="200"/>
              <w:jc w:val="both"/>
              <w:rPr>
                <w:rFonts w:hint="eastAsia" w:ascii="仿宋" w:hAnsi="仿宋" w:eastAsia="仿宋"/>
                <w:b w:val="0"/>
                <w:bCs/>
                <w:color w:val="auto"/>
                <w:sz w:val="28"/>
                <w:szCs w:val="28"/>
                <w:lang w:val="en-US" w:eastAsia="zh-CN"/>
              </w:rPr>
            </w:pPr>
            <w:r>
              <w:rPr>
                <w:rFonts w:hint="eastAsia" w:ascii="仿宋" w:hAnsi="仿宋" w:eastAsia="仿宋"/>
                <w:b/>
                <w:color w:val="auto"/>
                <w:sz w:val="28"/>
                <w:szCs w:val="28"/>
                <w:lang w:val="en-US" w:eastAsia="zh-CN"/>
              </w:rPr>
              <w:t>杭黄世界级自然生态和文化旅游廊道是</w:t>
            </w:r>
            <w:r>
              <w:rPr>
                <w:rFonts w:hint="eastAsia" w:ascii="仿宋" w:hAnsi="仿宋" w:eastAsia="仿宋"/>
                <w:b w:val="0"/>
                <w:bCs/>
                <w:color w:val="auto"/>
                <w:sz w:val="28"/>
                <w:szCs w:val="28"/>
                <w:lang w:val="en-US" w:eastAsia="zh-CN"/>
              </w:rPr>
              <w:t>长三角一体化的重要抓手，集聚杭黄绩两市一县优势资源，突破体制机制阻碍，打造生态环境优越、文化价值突出、旅游产业发达、国际影响广泛的自然生态和文化旅游廊道。</w:t>
            </w:r>
          </w:p>
          <w:p>
            <w:pPr>
              <w:pStyle w:val="2"/>
              <w:spacing w:line="600" w:lineRule="exact"/>
              <w:ind w:left="0" w:firstLine="562" w:firstLineChars="200"/>
              <w:jc w:val="both"/>
              <w:rPr>
                <w:rFonts w:hint="eastAsia" w:ascii="仿宋" w:hAnsi="仿宋" w:eastAsia="仿宋"/>
                <w:b w:val="0"/>
                <w:bCs/>
                <w:color w:val="auto"/>
                <w:sz w:val="28"/>
                <w:szCs w:val="28"/>
                <w:lang w:val="en-US" w:eastAsia="zh-CN"/>
              </w:rPr>
            </w:pPr>
            <w:r>
              <w:rPr>
                <w:rFonts w:hint="eastAsia" w:ascii="仿宋" w:hAnsi="仿宋" w:eastAsia="仿宋"/>
                <w:b/>
                <w:bCs w:val="0"/>
                <w:color w:val="auto"/>
                <w:sz w:val="28"/>
                <w:szCs w:val="28"/>
                <w:lang w:val="en-US" w:eastAsia="zh-CN"/>
              </w:rPr>
              <w:t>——打造具有国际示范性的生态保护廊道。</w:t>
            </w:r>
            <w:r>
              <w:rPr>
                <w:rFonts w:hint="eastAsia" w:ascii="仿宋" w:hAnsi="仿宋" w:eastAsia="仿宋"/>
                <w:b w:val="0"/>
                <w:bCs/>
                <w:color w:val="auto"/>
                <w:sz w:val="28"/>
                <w:szCs w:val="28"/>
                <w:lang w:val="en-US" w:eastAsia="zh-CN"/>
              </w:rPr>
              <w:t>深入践行“绿水青山就是金山银山”理念，完善新安江上下游生态补偿机制，确保水生态安全，全面推进“山水林田湖草生命共同体”建设，构建山青、水净、天蓝的区域生态环境，打造全国生态文明发展高地和跨区域生态保护的世界典范。</w:t>
            </w:r>
          </w:p>
          <w:p>
            <w:pPr>
              <w:pStyle w:val="2"/>
              <w:spacing w:line="600" w:lineRule="exact"/>
              <w:ind w:left="0" w:firstLine="562" w:firstLineChars="200"/>
              <w:jc w:val="both"/>
              <w:rPr>
                <w:rFonts w:hint="eastAsia" w:ascii="仿宋" w:hAnsi="仿宋" w:eastAsia="仿宋"/>
                <w:b w:val="0"/>
                <w:bCs/>
                <w:color w:val="auto"/>
                <w:sz w:val="28"/>
                <w:szCs w:val="28"/>
                <w:lang w:val="en-US" w:eastAsia="zh-CN"/>
              </w:rPr>
            </w:pPr>
            <w:r>
              <w:rPr>
                <w:rFonts w:hint="eastAsia" w:ascii="仿宋" w:hAnsi="仿宋" w:eastAsia="仿宋"/>
                <w:b/>
                <w:bCs w:val="0"/>
                <w:color w:val="auto"/>
                <w:sz w:val="28"/>
                <w:szCs w:val="28"/>
                <w:lang w:val="en-US" w:eastAsia="zh-CN"/>
              </w:rPr>
              <w:t>——打造具有国际吸引力的文化旅游廊道。</w:t>
            </w:r>
            <w:r>
              <w:rPr>
                <w:rFonts w:hint="eastAsia" w:ascii="仿宋" w:hAnsi="仿宋" w:eastAsia="仿宋"/>
                <w:b w:val="0"/>
                <w:bCs/>
                <w:color w:val="auto"/>
                <w:sz w:val="28"/>
                <w:szCs w:val="28"/>
                <w:lang w:val="en-US" w:eastAsia="zh-CN"/>
              </w:rPr>
              <w:t>以展示徽文化等地域特色文化为主要任务，充分发挥绩溪国家历史文化名城、徽杭古道、徽厨、徽菜、徽雕、徽墨等自然生态与文化遗产引领作用，串联杭黄沿线名城、名湖、名江、名山、名村，开发名人文化、非物质文化遗产等文化资源，加快推进文化、旅游及相关产业融合发展，打造贯通新安江流域的文化长廊和休闲游憩长廊，打响国际旅游目的地品牌。</w:t>
            </w:r>
          </w:p>
          <w:p>
            <w:pPr>
              <w:pStyle w:val="2"/>
              <w:spacing w:line="600" w:lineRule="exact"/>
              <w:ind w:left="0" w:firstLine="562" w:firstLineChars="200"/>
              <w:jc w:val="both"/>
              <w:rPr>
                <w:rFonts w:ascii="仿宋" w:hAnsi="仿宋" w:eastAsia="仿宋" w:cs="Times New Roman"/>
                <w:color w:val="auto"/>
                <w:sz w:val="24"/>
                <w:szCs w:val="28"/>
              </w:rPr>
            </w:pPr>
            <w:r>
              <w:rPr>
                <w:rFonts w:hint="eastAsia" w:ascii="仿宋" w:hAnsi="仿宋" w:eastAsia="仿宋"/>
                <w:b/>
                <w:bCs w:val="0"/>
                <w:color w:val="auto"/>
                <w:sz w:val="28"/>
                <w:szCs w:val="28"/>
                <w:lang w:val="en-US" w:eastAsia="zh-CN"/>
              </w:rPr>
              <w:t>——打造具有国际竞争力的城市合作廊道。</w:t>
            </w:r>
            <w:r>
              <w:rPr>
                <w:rFonts w:hint="eastAsia" w:ascii="仿宋" w:hAnsi="仿宋" w:eastAsia="仿宋"/>
                <w:b w:val="0"/>
                <w:bCs/>
                <w:color w:val="auto"/>
                <w:sz w:val="28"/>
                <w:szCs w:val="28"/>
                <w:lang w:val="en-US" w:eastAsia="zh-CN"/>
              </w:rPr>
              <w:t>推进绩溪深度融入杭州都市圈，实施与杭州、黄山区域合作工程，加快推进机制共建、规划共绘、交通共联、产业共兴、环境共治、服务共享，以城市合作提升我县综合发展实力，提升国际知名度和竞争力，实现互利共赢，打造协同发展促进区域共赢的国际样板。</w:t>
            </w:r>
          </w:p>
        </w:tc>
      </w:tr>
    </w:tbl>
    <w:p>
      <w:pPr>
        <w:pStyle w:val="4"/>
        <w:pageBreakBefore w:val="0"/>
        <w:widowControl w:val="0"/>
        <w:kinsoku/>
        <w:wordWrap/>
        <w:overflowPunct/>
        <w:topLinePunct w:val="0"/>
        <w:bidi w:val="0"/>
        <w:snapToGrid/>
        <w:spacing w:before="0" w:after="0" w:line="560" w:lineRule="exact"/>
        <w:jc w:val="center"/>
        <w:textAlignment w:val="auto"/>
        <w:outlineLvl w:val="1"/>
        <w:rPr>
          <w:rFonts w:hint="eastAsia" w:ascii="仿宋_GB2312" w:hAnsi="楷体" w:eastAsia="仿宋_GB2312"/>
          <w:color w:val="auto"/>
          <w:szCs w:val="30"/>
        </w:rPr>
      </w:pPr>
    </w:p>
    <w:p>
      <w:pPr>
        <w:pStyle w:val="4"/>
        <w:pageBreakBefore w:val="0"/>
        <w:widowControl w:val="0"/>
        <w:kinsoku/>
        <w:wordWrap/>
        <w:overflowPunct/>
        <w:topLinePunct w:val="0"/>
        <w:bidi w:val="0"/>
        <w:snapToGrid/>
        <w:spacing w:before="0" w:after="0" w:line="560" w:lineRule="exact"/>
        <w:jc w:val="center"/>
        <w:textAlignment w:val="auto"/>
        <w:outlineLvl w:val="1"/>
        <w:rPr>
          <w:rFonts w:ascii="仿宋_GB2312" w:hAnsi="楷体" w:eastAsia="仿宋_GB2312"/>
          <w:color w:val="auto"/>
          <w:szCs w:val="30"/>
        </w:rPr>
      </w:pPr>
      <w:bookmarkStart w:id="376" w:name="_Toc14621_WPSOffice_Level2"/>
      <w:r>
        <w:rPr>
          <w:rFonts w:hint="eastAsia" w:ascii="仿宋_GB2312" w:hAnsi="楷体" w:eastAsia="仿宋_GB2312"/>
          <w:color w:val="auto"/>
          <w:szCs w:val="30"/>
        </w:rPr>
        <w:t xml:space="preserve">第二节  </w:t>
      </w:r>
      <w:r>
        <w:rPr>
          <w:rFonts w:hint="eastAsia" w:ascii="仿宋_GB2312" w:hAnsi="仿宋_GB2312" w:eastAsia="仿宋_GB2312" w:cs="仿宋_GB2312"/>
          <w:color w:val="auto"/>
        </w:rPr>
        <w:t>激发各类市场主体活力</w:t>
      </w:r>
      <w:bookmarkEnd w:id="373"/>
      <w:bookmarkEnd w:id="374"/>
      <w:bookmarkEnd w:id="375"/>
      <w:bookmarkEnd w:id="376"/>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1"/>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毫不动摇巩固和发展公有制经济，深化国资国企改革，加快形成以资本为主的国有资产监管体制，提升国投、城投、旅投三大县属国有公司市场化运作水平。毫不动摇鼓励、支持、引导非公有制经济发展。全面落实减税降费政策，深化“五减”行动，确保各项纾困措施直达基层、直接惠及市场主体。深化要素市场化配置改革,建立健全城镇低效用地再开发激励约束机制和存量建设用地盘活利用机制，强力推进闲置土地、僵尸企业、僵尸项目“三清”工作，优化土地供给。加快多层次资本市场对接合作，完善“银企对接”沟通机制，引导金融资金加大对制造业和中小微企业的投入力度，落实企业上市挂牌奖补政策和金融奖补政策，引导企业股改、挂牌（上市）融资，鼓励已挂牌企业转板挂牌（上市）融资，促进财政与金融、就业、产业等集成协调。</w:t>
      </w:r>
    </w:p>
    <w:p>
      <w:pPr>
        <w:keepNext w:val="0"/>
        <w:keepLines w:val="0"/>
        <w:pageBreakBefore w:val="0"/>
        <w:widowControl w:val="0"/>
        <w:kinsoku/>
        <w:wordWrap/>
        <w:overflowPunct/>
        <w:topLinePunct w:val="0"/>
        <w:autoSpaceDE/>
        <w:autoSpaceDN/>
        <w:bidi w:val="0"/>
        <w:adjustRightInd/>
        <w:snapToGrid/>
        <w:spacing w:line="320" w:lineRule="exact"/>
        <w:ind w:firstLine="643" w:firstLineChars="200"/>
        <w:textAlignment w:val="auto"/>
        <w:outlineLvl w:val="1"/>
        <w:rPr>
          <w:rFonts w:ascii="楷体_GB2312" w:hAnsi="楷体_GB2312" w:eastAsia="楷体_GB2312" w:cs="楷体_GB2312"/>
          <w:b/>
          <w:bCs/>
          <w:color w:val="auto"/>
          <w:sz w:val="32"/>
          <w:szCs w:val="32"/>
        </w:rPr>
      </w:pPr>
    </w:p>
    <w:p>
      <w:pPr>
        <w:pageBreakBefore w:val="0"/>
        <w:widowControl w:val="0"/>
        <w:kinsoku/>
        <w:wordWrap/>
        <w:overflowPunct/>
        <w:topLinePunct w:val="0"/>
        <w:bidi w:val="0"/>
        <w:snapToGrid/>
        <w:spacing w:line="560" w:lineRule="exact"/>
        <w:ind w:left="0" w:leftChars="0" w:firstLine="0" w:firstLineChars="0"/>
        <w:jc w:val="center"/>
        <w:textAlignment w:val="auto"/>
        <w:outlineLvl w:val="1"/>
        <w:rPr>
          <w:rFonts w:ascii="仿宋_GB2312" w:hAnsi="仿宋_GB2312" w:eastAsia="仿宋_GB2312" w:cs="仿宋_GB2312"/>
          <w:b/>
          <w:bCs/>
          <w:color w:val="auto"/>
          <w:sz w:val="32"/>
          <w:szCs w:val="32"/>
        </w:rPr>
      </w:pPr>
      <w:bookmarkStart w:id="377" w:name="_Toc28890_WPSOffice_Level2"/>
      <w:r>
        <w:rPr>
          <w:rFonts w:hint="eastAsia" w:ascii="仿宋_GB2312" w:hAnsi="仿宋_GB2312" w:eastAsia="仿宋_GB2312" w:cs="仿宋_GB2312"/>
          <w:b/>
          <w:bCs/>
          <w:color w:val="auto"/>
          <w:sz w:val="32"/>
          <w:szCs w:val="32"/>
        </w:rPr>
        <w:t>第三节  进一步转变政府职能</w:t>
      </w:r>
      <w:bookmarkEnd w:id="377"/>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outlineLvl w:val="1"/>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建设职责明确、依法行政的政府治理体系。深化简政放权、放管结合、优化服务改革，精简行政许可事项，深化投资审批制度改革。推进政务公开，深化政务服务“一网一门一次”改革，完善7×24小时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不打烊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随时办”服务机制，纵深开展“四送一服”专项行动和常态化活动，营造“四最”营商环境，让公平公正、高效透明、稳定可期的营商环境成为绩溪的闪亮名片。牢固树立“为自己人办事就是办自己的事”的理念，督促各级干部重商、亲商、爱商、护商，优化民营经济发展环境，构建亲清政商关系，健全政企沟通长效机制，依法平等保护民营企业产权和企业家权益。健全重大决策事前评估和事后评价制度，畅通参与决策制定的渠道，提高决策科学化、民主化、法治化水平。加强改革系统集成、协同高效，推深做实司法体制、教育科技、医药卫生、人才体制、综合执法、生态文明等领域改革，依靠改革应对变局、开拓新局。</w:t>
      </w:r>
    </w:p>
    <w:p>
      <w:pPr>
        <w:pStyle w:val="2"/>
        <w:keepNext w:val="0"/>
        <w:keepLines w:val="0"/>
        <w:pageBreakBefore w:val="0"/>
        <w:widowControl w:val="0"/>
        <w:kinsoku/>
        <w:wordWrap/>
        <w:overflowPunct/>
        <w:topLinePunct w:val="0"/>
        <w:autoSpaceDE w:val="0"/>
        <w:autoSpaceDN w:val="0"/>
        <w:bidi w:val="0"/>
        <w:adjustRightInd w:val="0"/>
        <w:snapToGrid/>
        <w:spacing w:line="240" w:lineRule="exact"/>
        <w:ind w:left="119"/>
        <w:textAlignment w:val="auto"/>
        <w:outlineLvl w:val="1"/>
        <w:rPr>
          <w:color w:val="auto"/>
        </w:rPr>
      </w:pPr>
    </w:p>
    <w:p>
      <w:pPr>
        <w:pStyle w:val="2"/>
        <w:keepNext w:val="0"/>
        <w:keepLines w:val="0"/>
        <w:pageBreakBefore w:val="0"/>
        <w:widowControl w:val="0"/>
        <w:kinsoku/>
        <w:wordWrap/>
        <w:overflowPunct/>
        <w:topLinePunct w:val="0"/>
        <w:autoSpaceDE w:val="0"/>
        <w:autoSpaceDN w:val="0"/>
        <w:bidi w:val="0"/>
        <w:adjustRightInd w:val="0"/>
        <w:snapToGrid/>
        <w:spacing w:line="420" w:lineRule="exact"/>
        <w:ind w:left="119"/>
        <w:textAlignment w:val="auto"/>
        <w:outlineLvl w:val="1"/>
        <w:rPr>
          <w:color w:val="auto"/>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6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378" w:name="_Toc31142"/>
      <w:bookmarkStart w:id="379" w:name="_Toc14165"/>
      <w:bookmarkStart w:id="380" w:name="_Toc8421_WPSOffice_Level1"/>
      <w:bookmarkStart w:id="381" w:name="_Toc16264"/>
      <w:bookmarkStart w:id="382" w:name="_Toc48039855"/>
      <w:r>
        <w:rPr>
          <w:rFonts w:hint="eastAsia" w:ascii="方正小标宋简体" w:hAnsi="方正小标宋简体" w:eastAsia="方正小标宋简体" w:cs="方正小标宋简体"/>
          <w:b w:val="0"/>
          <w:bCs w:val="0"/>
          <w:color w:val="auto"/>
          <w:sz w:val="36"/>
          <w:szCs w:val="36"/>
          <w:lang w:eastAsia="zh-CN"/>
        </w:rPr>
        <w:t>第九章  提高社会建设水平 改善人民生活品质</w:t>
      </w:r>
      <w:bookmarkEnd w:id="378"/>
      <w:bookmarkEnd w:id="379"/>
      <w:bookmarkEnd w:id="380"/>
      <w:bookmarkEnd w:id="381"/>
    </w:p>
    <w:bookmarkEnd w:id="382"/>
    <w:p>
      <w:pPr>
        <w:outlineLvl w:val="1"/>
        <w:rPr>
          <w:rFonts w:eastAsia="仿宋_GB2312" w:cs="Times New Roman"/>
          <w:bCs/>
          <w:color w:val="auto"/>
          <w:kern w:val="0"/>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1"/>
        <w:rPr>
          <w:rFonts w:ascii="仿宋_GB2312" w:hAnsi="仿宋_GB2312" w:eastAsia="仿宋_GB2312" w:cs="仿宋_GB2312"/>
          <w:color w:val="auto"/>
          <w:spacing w:val="-2"/>
          <w:sz w:val="32"/>
          <w:szCs w:val="32"/>
          <w:lang w:val="zh-CN"/>
        </w:rPr>
      </w:pPr>
      <w:r>
        <w:rPr>
          <w:rFonts w:hint="eastAsia" w:ascii="仿宋_GB2312" w:hAnsi="仿宋_GB2312" w:eastAsia="仿宋_GB2312" w:cs="仿宋_GB2312"/>
          <w:color w:val="auto"/>
          <w:spacing w:val="-2"/>
          <w:sz w:val="32"/>
          <w:szCs w:val="32"/>
          <w:lang w:val="zh-CN"/>
        </w:rPr>
        <w:t>坚持以人民为中心的发展思想，聚焦人民群众所急、所需、所盼民生实事和“关键小事”，尽力而为、量力而行，健全基本公共服务体系，完善共建共治共享的社会治理制度，扎实推动共同富裕，让广大人民群众最大程度共享发展成果。</w:t>
      </w:r>
    </w:p>
    <w:p>
      <w:pPr>
        <w:pStyle w:val="4"/>
        <w:keepNext/>
        <w:keepLines/>
        <w:pageBreakBefore w:val="0"/>
        <w:widowControl w:val="0"/>
        <w:kinsoku/>
        <w:wordWrap/>
        <w:overflowPunct/>
        <w:topLinePunct w:val="0"/>
        <w:autoSpaceDE/>
        <w:autoSpaceDN/>
        <w:bidi w:val="0"/>
        <w:adjustRightInd/>
        <w:snapToGrid/>
        <w:spacing w:before="160" w:beforeLines="50" w:after="160" w:afterLines="50" w:line="600" w:lineRule="exact"/>
        <w:jc w:val="center"/>
        <w:textAlignment w:val="auto"/>
        <w:outlineLvl w:val="1"/>
        <w:rPr>
          <w:rFonts w:ascii="仿宋_GB2312" w:hAnsi="楷体" w:eastAsia="仿宋_GB2312"/>
          <w:color w:val="auto"/>
          <w:szCs w:val="30"/>
        </w:rPr>
      </w:pPr>
      <w:bookmarkStart w:id="383" w:name="_Toc31911"/>
      <w:bookmarkStart w:id="384" w:name="_Toc9572_WPSOffice_Level2"/>
      <w:bookmarkStart w:id="385" w:name="_Toc18763"/>
      <w:bookmarkStart w:id="386" w:name="_Toc18005"/>
      <w:r>
        <w:rPr>
          <w:rFonts w:hint="eastAsia" w:ascii="仿宋_GB2312" w:hAnsi="楷体" w:eastAsia="仿宋_GB2312"/>
          <w:color w:val="auto"/>
          <w:szCs w:val="30"/>
        </w:rPr>
        <w:t>第一节  促进更高质量更加充分就业</w:t>
      </w:r>
      <w:bookmarkEnd w:id="383"/>
      <w:bookmarkEnd w:id="384"/>
      <w:bookmarkEnd w:id="385"/>
      <w:bookmarkEnd w:id="38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就业优先，实施更加积极的就业创业政策，全力稳定和扩大就业创业。更加注重缓解结构性就业矛盾，健全职业技能培训制度，加快建设一批实训基地，提升劳动者技能素质，建立技能培训与产业发展、市场需求、高质量就业协调发展机制。强化全方位公共就业创业服务，健全统一规范的人力资源市场服务体系，实施基层公共就业服务能力保障计划，统筹抓好大学生、退役军人、农民工、城镇困难群体就业。积极构建和谐劳动关系，完善劳动人事争议调解仲裁制度。</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textAlignment w:val="auto"/>
        <w:outlineLvl w:val="9"/>
        <w:rPr>
          <w:rFonts w:hint="eastAsia"/>
        </w:rPr>
      </w:pPr>
    </w:p>
    <w:p>
      <w:pPr>
        <w:pStyle w:val="4"/>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ascii="仿宋_GB2312" w:hAnsi="楷体" w:eastAsia="仿宋_GB2312"/>
          <w:color w:val="auto"/>
          <w:szCs w:val="30"/>
        </w:rPr>
      </w:pPr>
      <w:bookmarkStart w:id="387" w:name="_Toc1372"/>
      <w:bookmarkStart w:id="388" w:name="_Toc2111"/>
      <w:bookmarkStart w:id="389" w:name="_Toc10424_WPSOffice_Level2"/>
      <w:bookmarkStart w:id="390" w:name="_Toc18448"/>
      <w:r>
        <w:rPr>
          <w:rFonts w:hint="eastAsia" w:ascii="仿宋_GB2312" w:hAnsi="楷体" w:eastAsia="仿宋_GB2312"/>
          <w:color w:val="auto"/>
          <w:szCs w:val="30"/>
        </w:rPr>
        <w:t>第二节  提高城乡居民收入水平</w:t>
      </w:r>
      <w:bookmarkEnd w:id="387"/>
      <w:bookmarkEnd w:id="388"/>
      <w:bookmarkEnd w:id="389"/>
      <w:bookmarkEnd w:id="390"/>
    </w:p>
    <w:p>
      <w:pPr>
        <w:keepNext w:val="0"/>
        <w:keepLines w:val="0"/>
        <w:pageBreakBefore w:val="0"/>
        <w:widowControl w:val="0"/>
        <w:kinsoku/>
        <w:wordWrap/>
        <w:overflowPunct/>
        <w:topLinePunct w:val="0"/>
        <w:autoSpaceDE/>
        <w:autoSpaceDN/>
        <w:bidi w:val="0"/>
        <w:adjustRightInd/>
        <w:snapToGrid/>
        <w:spacing w:line="400" w:lineRule="exact"/>
        <w:ind w:firstLine="800" w:firstLineChars="250"/>
        <w:jc w:val="center"/>
        <w:textAlignment w:val="auto"/>
        <w:outlineLvl w:val="1"/>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按劳分配为主体、多种分配方式并存，提高劳动报酬在初次分配中的比重。建立健全最低工资与经济增长及全社会平均工资增长的联动机制，推动低收入职工工资合理增长。完善按要素分配政策制度，健全各类生产要素由市场决定报酬的机制，探索通过土地、资本等要素使用权、收益权增加中低收入群体要素收入，优化劳动、知识、技术、管理在初次分配中的比例。多途径增加城乡居民劳动收入和财产性收入，支持居民财产向资本转变，持续拓宽城乡居民收入渠道。</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1"/>
        <w:rPr>
          <w:rFonts w:ascii="Times New Roman" w:hAnsi="Times New Roman" w:eastAsia="仿宋_GB2312"/>
          <w:bCs/>
          <w:color w:val="auto"/>
          <w:sz w:val="32"/>
          <w:szCs w:val="32"/>
        </w:rPr>
      </w:pPr>
    </w:p>
    <w:p>
      <w:pPr>
        <w:pStyle w:val="4"/>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ascii="仿宋_GB2312" w:hAnsi="楷体" w:eastAsia="仿宋_GB2312"/>
          <w:color w:val="auto"/>
          <w:szCs w:val="30"/>
        </w:rPr>
      </w:pPr>
      <w:bookmarkStart w:id="391" w:name="_Toc31747"/>
      <w:bookmarkStart w:id="392" w:name="_Toc12169"/>
      <w:bookmarkStart w:id="393" w:name="_Toc6961"/>
      <w:bookmarkStart w:id="394" w:name="_Toc24405_WPSOffice_Level2"/>
      <w:r>
        <w:rPr>
          <w:rFonts w:hint="eastAsia" w:ascii="仿宋_GB2312" w:hAnsi="楷体" w:eastAsia="仿宋_GB2312"/>
          <w:color w:val="auto"/>
          <w:szCs w:val="30"/>
        </w:rPr>
        <w:t>第三节  健全多层次</w:t>
      </w:r>
      <w:r>
        <w:rPr>
          <w:rFonts w:ascii="仿宋_GB2312" w:hAnsi="楷体" w:eastAsia="仿宋_GB2312"/>
          <w:color w:val="auto"/>
          <w:szCs w:val="30"/>
        </w:rPr>
        <w:t>社会保障体系</w:t>
      </w:r>
      <w:bookmarkEnd w:id="391"/>
      <w:bookmarkEnd w:id="392"/>
      <w:bookmarkEnd w:id="393"/>
      <w:bookmarkEnd w:id="394"/>
    </w:p>
    <w:p>
      <w:pPr>
        <w:keepNext w:val="0"/>
        <w:keepLines w:val="0"/>
        <w:pageBreakBefore w:val="0"/>
        <w:widowControl w:val="0"/>
        <w:kinsoku/>
        <w:wordWrap/>
        <w:overflowPunct/>
        <w:topLinePunct w:val="0"/>
        <w:autoSpaceDE/>
        <w:autoSpaceDN/>
        <w:bidi w:val="0"/>
        <w:adjustRightInd/>
        <w:snapToGrid/>
        <w:spacing w:line="400" w:lineRule="exact"/>
        <w:ind w:firstLine="800" w:firstLineChars="250"/>
        <w:jc w:val="center"/>
        <w:textAlignment w:val="auto"/>
        <w:outlineLvl w:val="1"/>
        <w:rPr>
          <w:rFonts w:ascii="仿宋_GB2312" w:hAnsi="仿宋_GB2312" w:eastAsia="仿宋_GB2312" w:cs="仿宋_GB2312"/>
          <w:color w:val="auto"/>
          <w:sz w:val="32"/>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继续完善城镇职工基本养老保险和城乡居民基本养老保险制度，</w:t>
      </w:r>
      <w:r>
        <w:rPr>
          <w:rFonts w:hint="eastAsia" w:ascii="仿宋_GB2312" w:hAnsi="仿宋_GB2312" w:eastAsia="仿宋_GB2312" w:cs="仿宋_GB2312"/>
          <w:color w:val="auto"/>
          <w:sz w:val="32"/>
          <w:szCs w:val="32"/>
          <w:lang w:val="en-US" w:eastAsia="zh-CN"/>
        </w:rPr>
        <w:t>深化医疗保障制度改革，完善统一的基本医疗保险、大病保险和城乡医疗救助制度，实施区域点数法总额预算等付费方式改革。</w:t>
      </w:r>
      <w:r>
        <w:rPr>
          <w:rFonts w:hint="eastAsia" w:ascii="仿宋_GB2312" w:hAnsi="仿宋_GB2312" w:eastAsia="仿宋_GB2312" w:cs="仿宋_GB2312"/>
          <w:color w:val="auto"/>
          <w:sz w:val="32"/>
          <w:szCs w:val="32"/>
        </w:rPr>
        <w:t>建立涵盖灾害、医疗、教育、住房、司法、临时救助等多层次社会救助体系，完善社会救助、社会福利、慈善事业、优抚安置等制度。加快建立多主体供给、多渠道保障、租购并举住房制度。进一步健全和完善退役军人组织管理体系、工作运行体系和政策制度体系。强化儿童保护制度建设，健全完善残疾人康复服务和社会保障体系。城乡居民基本养老保险、基本医疗保险参保率分别保持99%和9</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textAlignment w:val="auto"/>
        <w:outlineLvl w:val="9"/>
      </w:pPr>
    </w:p>
    <w:p>
      <w:pPr>
        <w:pStyle w:val="4"/>
        <w:pageBreakBefore w:val="0"/>
        <w:widowControl w:val="0"/>
        <w:kinsoku/>
        <w:wordWrap/>
        <w:overflowPunct/>
        <w:topLinePunct w:val="0"/>
        <w:autoSpaceDE/>
        <w:autoSpaceDN/>
        <w:bidi w:val="0"/>
        <w:adjustRightInd/>
        <w:snapToGrid/>
        <w:spacing w:before="0" w:after="0" w:line="600" w:lineRule="exact"/>
        <w:jc w:val="center"/>
        <w:textAlignment w:val="auto"/>
        <w:outlineLvl w:val="1"/>
        <w:rPr>
          <w:rFonts w:ascii="仿宋_GB2312" w:hAnsi="楷体" w:eastAsia="仿宋_GB2312"/>
          <w:color w:val="auto"/>
          <w:szCs w:val="30"/>
        </w:rPr>
      </w:pPr>
      <w:bookmarkStart w:id="395" w:name="_Toc21485"/>
      <w:bookmarkStart w:id="396" w:name="_Toc10236"/>
      <w:bookmarkStart w:id="397" w:name="_Toc26099"/>
      <w:bookmarkStart w:id="398" w:name="_Toc20320_WPSOffice_Level2"/>
      <w:r>
        <w:rPr>
          <w:rFonts w:hint="eastAsia" w:ascii="仿宋_GB2312" w:hAnsi="楷体" w:eastAsia="仿宋_GB2312"/>
          <w:color w:val="auto"/>
          <w:szCs w:val="30"/>
        </w:rPr>
        <w:t>第四节  办好人民满意的教育</w:t>
      </w:r>
      <w:bookmarkEnd w:id="395"/>
      <w:bookmarkEnd w:id="396"/>
      <w:bookmarkEnd w:id="397"/>
      <w:bookmarkEnd w:id="398"/>
    </w:p>
    <w:p>
      <w:pPr>
        <w:keepNext w:val="0"/>
        <w:keepLines w:val="0"/>
        <w:pageBreakBefore w:val="0"/>
        <w:widowControl w:val="0"/>
        <w:kinsoku/>
        <w:wordWrap/>
        <w:overflowPunct/>
        <w:topLinePunct w:val="0"/>
        <w:autoSpaceDE/>
        <w:autoSpaceDN/>
        <w:bidi w:val="0"/>
        <w:adjustRightInd/>
        <w:snapToGrid/>
        <w:spacing w:line="400" w:lineRule="exact"/>
        <w:ind w:firstLine="800" w:firstLineChars="250"/>
        <w:jc w:val="center"/>
        <w:textAlignment w:val="auto"/>
        <w:outlineLvl w:val="1"/>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立德树人，推进教育优质发展，提升教育教学质量，加强教师队伍建设，重铸绩溪教育辉煌，确保基本实现教育现代化。普及学前教育，扩大优质学前教育资源，推进实现学前教育全覆盖，满足群众对高质量学前教育需求。开展义务教育质量提升行动，促进城乡义务教育均衡发展。积极参与长三角、南京都市圈等教育协作组织活动，以合作办学等方式，引进借鉴高水平学校先进办学模式，进一步提升高中阶段教育质量。完成徽厨技师学院易址新建，打造特色品牌职业教育。推进教育信息化水平，实现资源协作和经验共享。完善面向全民的教育体系，营造全民继续学习、终身教育浓厚氛围，全县公民受教育程度显著提高。到2025年，</w:t>
      </w:r>
      <w:r>
        <w:rPr>
          <w:rFonts w:hint="eastAsia" w:ascii="仿宋_GB2312" w:hAnsi="仿宋_GB2312" w:eastAsia="仿宋_GB2312" w:cs="仿宋_GB2312"/>
          <w:color w:val="auto"/>
          <w:sz w:val="32"/>
          <w:szCs w:val="32"/>
          <w:lang w:val="en-US" w:eastAsia="zh-CN"/>
        </w:rPr>
        <w:t>学前三年毛入学率巩固在90%以上，</w:t>
      </w:r>
      <w:r>
        <w:rPr>
          <w:rFonts w:hint="eastAsia" w:ascii="仿宋_GB2312" w:hAnsi="仿宋_GB2312" w:eastAsia="仿宋_GB2312" w:cs="仿宋_GB2312"/>
          <w:color w:val="auto"/>
          <w:sz w:val="32"/>
          <w:szCs w:val="32"/>
        </w:rPr>
        <w:t>普惠性幼儿园覆盖率85%以上，公办园在园幼儿占比</w:t>
      </w:r>
      <w:r>
        <w:rPr>
          <w:rFonts w:hint="eastAsia" w:ascii="仿宋_GB2312" w:hAnsi="仿宋_GB2312" w:eastAsia="仿宋_GB2312" w:cs="仿宋_GB2312"/>
          <w:color w:val="auto"/>
          <w:sz w:val="32"/>
          <w:szCs w:val="32"/>
          <w:lang w:val="en-US" w:eastAsia="zh-CN"/>
        </w:rPr>
        <w:t>保持在</w:t>
      </w:r>
      <w:r>
        <w:rPr>
          <w:rFonts w:hint="eastAsia" w:ascii="仿宋_GB2312" w:hAnsi="仿宋_GB2312" w:eastAsia="仿宋_GB2312" w:cs="仿宋_GB2312"/>
          <w:color w:val="auto"/>
          <w:sz w:val="32"/>
          <w:szCs w:val="32"/>
        </w:rPr>
        <w:t>50%以上，义务教育巩固率达97%以上，适龄残疾儿童少年义务教育入学率达97%以上。</w:t>
      </w:r>
    </w:p>
    <w:p>
      <w:pPr>
        <w:keepNext w:val="0"/>
        <w:keepLines w:val="0"/>
        <w:pageBreakBefore w:val="0"/>
        <w:widowControl w:val="0"/>
        <w:kinsoku/>
        <w:wordWrap/>
        <w:overflowPunct/>
        <w:topLinePunct w:val="0"/>
        <w:autoSpaceDE/>
        <w:autoSpaceDN/>
        <w:bidi w:val="0"/>
        <w:adjustRightInd/>
        <w:snapToGrid/>
        <w:spacing w:line="240" w:lineRule="exact"/>
        <w:ind w:firstLine="632" w:firstLineChars="200"/>
        <w:jc w:val="left"/>
        <w:textAlignment w:val="auto"/>
        <w:outlineLvl w:val="1"/>
        <w:rPr>
          <w:rFonts w:ascii="仿宋_GB2312" w:hAnsi="仿宋_GB2312" w:eastAsia="仿宋_GB2312" w:cs="仿宋_GB2312"/>
          <w:color w:val="auto"/>
          <w:spacing w:val="-2"/>
          <w:sz w:val="32"/>
          <w:szCs w:val="32"/>
          <w:lang w:val="zh-CN"/>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870"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专栏2</w:t>
            </w:r>
            <w:r>
              <w:rPr>
                <w:rFonts w:hint="eastAsia" w:ascii="仿宋_GB2312" w:hAnsi="仿宋_GB2312" w:eastAsia="仿宋_GB2312" w:cs="仿宋_GB2312"/>
                <w:b/>
                <w:color w:val="auto"/>
                <w:sz w:val="28"/>
                <w:szCs w:val="28"/>
                <w:lang w:val="en-US" w:eastAsia="zh-CN"/>
              </w:rPr>
              <w:t xml:space="preserve">7 </w:t>
            </w:r>
            <w:r>
              <w:rPr>
                <w:rFonts w:hint="eastAsia" w:ascii="仿宋_GB2312" w:hAnsi="仿宋_GB2312" w:eastAsia="仿宋_GB2312" w:cs="仿宋_GB2312"/>
                <w:b/>
                <w:color w:val="auto"/>
                <w:sz w:val="28"/>
                <w:szCs w:val="28"/>
              </w:rPr>
              <w:t>中小学幼儿园新一轮布局调整方案</w:t>
            </w:r>
          </w:p>
        </w:tc>
      </w:tr>
      <w:tr>
        <w:tblPrEx>
          <w:tblCellMar>
            <w:top w:w="0" w:type="dxa"/>
            <w:left w:w="108" w:type="dxa"/>
            <w:bottom w:w="0" w:type="dxa"/>
            <w:right w:w="108" w:type="dxa"/>
          </w:tblCellMar>
        </w:tblPrEx>
        <w:trPr>
          <w:trHeight w:val="5505"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初中阶段：</w:t>
            </w:r>
            <w:r>
              <w:rPr>
                <w:rFonts w:hint="eastAsia" w:ascii="仿宋_GB2312" w:hAnsi="仿宋_GB2312" w:eastAsia="仿宋_GB2312" w:cs="仿宋_GB2312"/>
                <w:color w:val="auto"/>
                <w:sz w:val="28"/>
                <w:szCs w:val="28"/>
              </w:rPr>
              <w:t>保留城区初中1所，撤销农村初中2所、九年一贯制学校初中部4个，新建九年一贯制学校1所。</w:t>
            </w:r>
          </w:p>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小学阶段：</w:t>
            </w:r>
            <w:r>
              <w:rPr>
                <w:rFonts w:hint="eastAsia" w:ascii="仿宋_GB2312" w:hAnsi="仿宋_GB2312" w:eastAsia="仿宋_GB2312" w:cs="仿宋_GB2312"/>
                <w:color w:val="auto"/>
                <w:sz w:val="28"/>
                <w:szCs w:val="28"/>
              </w:rPr>
              <w:t>城区保留小学3所，民办睿阳学校小学部，新建小学1所；农村保留中心小学10所，教学点3个。</w:t>
            </w:r>
          </w:p>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学前阶段：</w:t>
            </w:r>
            <w:r>
              <w:rPr>
                <w:rFonts w:hint="eastAsia" w:ascii="仿宋_GB2312" w:hAnsi="仿宋_GB2312" w:eastAsia="仿宋_GB2312" w:cs="仿宋_GB2312"/>
                <w:color w:val="auto"/>
                <w:sz w:val="28"/>
                <w:szCs w:val="28"/>
              </w:rPr>
              <w:t>城区保留公办园2所、民办园</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所，新建公办园</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所、农村保留中心幼儿园10所</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保留附属园（班）12个。</w:t>
            </w:r>
          </w:p>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特殊教育</w:t>
            </w:r>
            <w:r>
              <w:rPr>
                <w:rFonts w:hint="eastAsia" w:ascii="仿宋_GB2312" w:hAnsi="仿宋_GB2312" w:eastAsia="仿宋_GB2312" w:cs="仿宋_GB2312"/>
                <w:color w:val="auto"/>
                <w:sz w:val="28"/>
                <w:szCs w:val="28"/>
              </w:rPr>
              <w:t>：新建特殊教育资源中心1个。</w:t>
            </w:r>
          </w:p>
          <w:p>
            <w:pPr>
              <w:keepNext w:val="0"/>
              <w:keepLines w:val="0"/>
              <w:pageBreakBefore w:val="0"/>
              <w:widowControl w:val="0"/>
              <w:kinsoku/>
              <w:wordWrap/>
              <w:overflowPunct/>
              <w:topLinePunct w:val="0"/>
              <w:autoSpaceDE w:val="0"/>
              <w:autoSpaceDN w:val="0"/>
              <w:bidi w:val="0"/>
              <w:adjustRightInd w:val="0"/>
              <w:snapToGrid/>
              <w:spacing w:before="156" w:line="480" w:lineRule="exact"/>
              <w:ind w:firstLine="562"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课外活动基地：</w:t>
            </w:r>
            <w:r>
              <w:rPr>
                <w:rFonts w:hint="eastAsia" w:ascii="仿宋_GB2312" w:hAnsi="仿宋_GB2312" w:eastAsia="仿宋_GB2312" w:cs="仿宋_GB2312"/>
                <w:color w:val="auto"/>
                <w:sz w:val="28"/>
                <w:szCs w:val="28"/>
              </w:rPr>
              <w:t>建设校外综合实践基地2个，打造校内劳动实践基地3个，打造省级研学基地1个。</w:t>
            </w:r>
          </w:p>
        </w:tc>
      </w:tr>
    </w:tbl>
    <w:p>
      <w:pPr>
        <w:outlineLvl w:val="1"/>
        <w:rPr>
          <w:color w:val="auto"/>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945"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专栏2</w:t>
            </w:r>
            <w:r>
              <w:rPr>
                <w:rFonts w:hint="eastAsia" w:ascii="仿宋_GB2312" w:hAnsi="仿宋_GB2312" w:eastAsia="仿宋_GB2312" w:cs="仿宋_GB2312"/>
                <w:b/>
                <w:color w:val="auto"/>
                <w:sz w:val="28"/>
                <w:szCs w:val="28"/>
                <w:lang w:val="en-US" w:eastAsia="zh-CN"/>
              </w:rPr>
              <w:t xml:space="preserve">8 </w:t>
            </w:r>
            <w:r>
              <w:rPr>
                <w:rFonts w:hint="eastAsia" w:ascii="仿宋_GB2312" w:hAnsi="仿宋_GB2312" w:eastAsia="仿宋_GB2312" w:cs="仿宋_GB2312"/>
                <w:b/>
                <w:color w:val="auto"/>
                <w:sz w:val="28"/>
                <w:szCs w:val="28"/>
              </w:rPr>
              <w:t xml:space="preserve"> 教育体育重点项目</w:t>
            </w:r>
          </w:p>
        </w:tc>
      </w:tr>
      <w:tr>
        <w:tblPrEx>
          <w:tblCellMar>
            <w:top w:w="0" w:type="dxa"/>
            <w:left w:w="108" w:type="dxa"/>
            <w:bottom w:w="0" w:type="dxa"/>
            <w:right w:w="108" w:type="dxa"/>
          </w:tblCellMar>
        </w:tblPrEx>
        <w:trPr>
          <w:trHeight w:val="3291"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00" w:lineRule="exact"/>
              <w:ind w:firstLine="560"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绩溪中学扩建、绩溪县幼儿园望徽路校区改造项目、上庄镇中心幼儿园建设和荆州乡中心幼儿园建设项目、绩溪县吴家山小学（暂定名）新建项目、适之中学寄宿制学校改造项目、新建荆州学校项目、普通高中提升项目、对外合作办学项目、县体育馆与游泳馆项目、徽州学校（徽厨技师学院）迁扩建项目等。</w:t>
            </w:r>
          </w:p>
        </w:tc>
      </w:tr>
    </w:tbl>
    <w:p>
      <w:pPr>
        <w:spacing w:line="360" w:lineRule="auto"/>
        <w:ind w:firstLine="640" w:firstLineChars="200"/>
        <w:jc w:val="center"/>
        <w:outlineLvl w:val="1"/>
        <w:rPr>
          <w:rFonts w:ascii="Times New Roman" w:hAnsi="Times New Roman" w:eastAsia="仿宋_GB2312"/>
          <w:bCs/>
          <w:color w:val="auto"/>
          <w:sz w:val="32"/>
          <w:szCs w:val="32"/>
        </w:rPr>
      </w:pPr>
    </w:p>
    <w:p>
      <w:pPr>
        <w:pStyle w:val="4"/>
        <w:spacing w:before="0" w:after="0" w:line="240" w:lineRule="auto"/>
        <w:jc w:val="center"/>
        <w:outlineLvl w:val="1"/>
        <w:rPr>
          <w:rFonts w:ascii="仿宋_GB2312" w:hAnsi="楷体" w:eastAsia="仿宋_GB2312"/>
          <w:color w:val="auto"/>
          <w:szCs w:val="30"/>
        </w:rPr>
      </w:pPr>
      <w:bookmarkStart w:id="399" w:name="_Toc428"/>
      <w:bookmarkStart w:id="400" w:name="_Toc3586"/>
      <w:bookmarkStart w:id="401" w:name="_Toc646_WPSOffice_Level2"/>
      <w:bookmarkStart w:id="402" w:name="_Toc29600"/>
      <w:r>
        <w:rPr>
          <w:rFonts w:hint="eastAsia" w:ascii="仿宋_GB2312" w:hAnsi="楷体" w:eastAsia="仿宋_GB2312"/>
          <w:color w:val="auto"/>
          <w:szCs w:val="30"/>
        </w:rPr>
        <w:t>第五节  建设普惠全民的健康绩溪</w:t>
      </w:r>
      <w:bookmarkEnd w:id="399"/>
      <w:bookmarkEnd w:id="400"/>
      <w:bookmarkEnd w:id="401"/>
      <w:bookmarkEnd w:id="402"/>
    </w:p>
    <w:p>
      <w:pPr>
        <w:spacing w:line="240" w:lineRule="exact"/>
        <w:ind w:firstLine="800" w:firstLineChars="250"/>
        <w:jc w:val="center"/>
        <w:outlineLvl w:val="1"/>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着力补齐公共卫生短板弱项，完善重大疫情防控救治体制机制，全方位守护好人民生命安全，全周期维护保障人民健康。健全公共卫生和疾病预防控制体系，创新医防协同机制。坚持平战结合，健全集中统一有效的突发公共卫生事件应急指挥体系和应急物资保障体系，提升突发公共卫生事件应急处置能力。深化公立医院改革，推动县人民医院创建三级医院，加强县中医院综合能力建设，巩固提升标准化村、社区卫生室建设成果，推深做实县域紧密型医共体、城市医联体，努力满足群众就医需求。加快完善公共体育基础设施建设，大力发展大健康产业，广泛开展全民健身行动，提升群众健康素养。</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1"/>
        <w:rPr>
          <w:rFonts w:ascii="楷体_GB2312" w:hAnsi="楷体_GB2312" w:eastAsia="楷体_GB2312" w:cs="楷体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outlineLvl w:val="1"/>
        <w:rPr>
          <w:rFonts w:ascii="仿宋_GB2312" w:hAnsi="仿宋_GB2312" w:eastAsia="仿宋_GB2312" w:cs="仿宋_GB2312"/>
          <w:b/>
          <w:bCs/>
          <w:color w:val="auto"/>
          <w:sz w:val="32"/>
          <w:szCs w:val="32"/>
        </w:rPr>
      </w:pPr>
      <w:bookmarkStart w:id="403" w:name="_Toc25200_WPSOffice_Level2"/>
      <w:r>
        <w:rPr>
          <w:rFonts w:hint="eastAsia" w:ascii="仿宋_GB2312" w:hAnsi="仿宋_GB2312" w:eastAsia="仿宋_GB2312" w:cs="仿宋_GB2312"/>
          <w:b/>
          <w:bCs/>
          <w:color w:val="auto"/>
          <w:sz w:val="32"/>
          <w:szCs w:val="32"/>
        </w:rPr>
        <w:t>第六节  全面提升人口管理服务水平</w:t>
      </w:r>
      <w:bookmarkEnd w:id="403"/>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outlineLvl w:val="1"/>
        <w:rPr>
          <w:rFonts w:ascii="楷体_GB2312" w:hAnsi="楷体_GB2312" w:eastAsia="楷体_GB2312" w:cs="楷体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依托村（社区）、政府引导、市场参与原则，实施积极应对人口老龄化国家战略，建立健全基本养老公共服务清单制度，加快构建居家为基础、村（社区）为依托、机构为补充、医养康养相结合的多层次、多元化养老服务体系。加强社会养老服务体系和养老智慧化建设，创建智慧养老机构，建设智慧社区居家养老服务模式。加强老年人康养服务体系建设。到2025年，护理型床位占床位比例达65%。继续完善</w:t>
      </w:r>
      <w:r>
        <w:rPr>
          <w:rFonts w:hint="eastAsia" w:ascii="仿宋_GB2312" w:hAnsi="仿宋_GB2312" w:eastAsia="仿宋_GB2312" w:cs="仿宋_GB2312"/>
          <w:color w:val="auto"/>
          <w:sz w:val="32"/>
          <w:szCs w:val="32"/>
          <w:lang w:eastAsia="zh-CN"/>
        </w:rPr>
        <w:t>人口生育政策</w:t>
      </w:r>
      <w:r>
        <w:rPr>
          <w:rFonts w:hint="eastAsia" w:ascii="仿宋_GB2312" w:hAnsi="仿宋_GB2312" w:eastAsia="仿宋_GB2312" w:cs="仿宋_GB2312"/>
          <w:color w:val="auto"/>
          <w:sz w:val="32"/>
          <w:szCs w:val="32"/>
        </w:rPr>
        <w:t>配套措施。</w:t>
      </w:r>
    </w:p>
    <w:p>
      <w:pPr>
        <w:pStyle w:val="2"/>
        <w:rPr>
          <w:rFonts w:hint="eastAsia" w:ascii="仿宋_GB2312" w:hAnsi="仿宋_GB2312" w:eastAsia="仿宋_GB2312" w:cs="仿宋_GB2312"/>
          <w:color w:val="auto"/>
          <w:sz w:val="32"/>
          <w:szCs w:val="32"/>
        </w:rPr>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404"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专栏2</w:t>
            </w:r>
            <w:r>
              <w:rPr>
                <w:rFonts w:hint="eastAsia" w:ascii="仿宋_GB2312" w:hAnsi="仿宋_GB2312" w:eastAsia="仿宋_GB2312" w:cs="仿宋_GB2312"/>
                <w:b/>
                <w:color w:val="auto"/>
                <w:sz w:val="28"/>
                <w:szCs w:val="28"/>
                <w:lang w:val="en-US" w:eastAsia="zh-CN"/>
              </w:rPr>
              <w:t>9</w:t>
            </w:r>
            <w:r>
              <w:rPr>
                <w:rFonts w:hint="eastAsia" w:ascii="仿宋_GB2312" w:hAnsi="仿宋_GB2312" w:eastAsia="仿宋_GB2312" w:cs="仿宋_GB2312"/>
                <w:b/>
                <w:color w:val="auto"/>
                <w:sz w:val="28"/>
                <w:szCs w:val="28"/>
              </w:rPr>
              <w:t xml:space="preserve"> 卫生健康养老重点项目</w:t>
            </w:r>
          </w:p>
        </w:tc>
      </w:tr>
      <w:tr>
        <w:tblPrEx>
          <w:tblCellMar>
            <w:top w:w="0" w:type="dxa"/>
            <w:left w:w="108" w:type="dxa"/>
            <w:bottom w:w="0" w:type="dxa"/>
            <w:right w:w="108" w:type="dxa"/>
          </w:tblCellMar>
        </w:tblPrEx>
        <w:trPr>
          <w:trHeight w:val="4556"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560" w:lineRule="exact"/>
              <w:ind w:firstLine="560"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绩溪县人民医院基础设施提升工程、县医院感染综合楼及附属工程建设项目、县精神病专科医院建设项目、县卫生应急中心项目、县中医院预检分诊发热门诊建设项目、医疗器械项目、乡村公共卫生基础设施建设项目、绩溪县失能老人养护院和残疾人康复中心建设项目、县公办养老机构提档升级项目、绩溪县新安养老医养结合项目、绩溪县3岁以下婴幼儿照护项目、绩溪县互联网医院建设项目、华阳老年养护院项目</w:t>
            </w:r>
            <w:r>
              <w:rPr>
                <w:rFonts w:hint="eastAsia" w:ascii="仿宋_GB2312" w:hAnsi="仿宋_GB2312" w:eastAsia="仿宋_GB2312" w:cs="仿宋_GB2312"/>
                <w:color w:val="auto"/>
                <w:sz w:val="28"/>
                <w:szCs w:val="28"/>
                <w:lang w:eastAsia="zh-CN"/>
              </w:rPr>
              <w:t>、岭南应急治疗中心建设项目</w:t>
            </w:r>
            <w:r>
              <w:rPr>
                <w:rFonts w:hint="eastAsia" w:ascii="仿宋_GB2312" w:hAnsi="仿宋_GB2312" w:eastAsia="仿宋_GB2312" w:cs="仿宋_GB2312"/>
                <w:color w:val="auto"/>
                <w:sz w:val="28"/>
                <w:szCs w:val="28"/>
              </w:rPr>
              <w:t>等。</w:t>
            </w:r>
          </w:p>
        </w:tc>
      </w:tr>
    </w:tbl>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textAlignment w:val="auto"/>
        <w:outlineLvl w:val="9"/>
        <w:rPr>
          <w:rFonts w:hint="eastAsia"/>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119"/>
        <w:textAlignment w:val="auto"/>
        <w:outlineLvl w:val="9"/>
        <w:rPr>
          <w:rFonts w:hint="eastAsia"/>
        </w:rPr>
      </w:pPr>
    </w:p>
    <w:p>
      <w:pPr>
        <w:pStyle w:val="37"/>
        <w:keepNext w:val="0"/>
        <w:keepLines w:val="0"/>
        <w:pageBreakBefore w:val="0"/>
        <w:widowControl w:val="0"/>
        <w:shd w:val="clear" w:color="auto" w:fill="auto"/>
        <w:kinsoku/>
        <w:wordWrap/>
        <w:overflowPunct/>
        <w:topLinePunct w:val="0"/>
        <w:autoSpaceDE/>
        <w:autoSpaceDN/>
        <w:bidi w:val="0"/>
        <w:adjustRightInd/>
        <w:snapToGrid/>
        <w:spacing w:before="0" w:after="0" w:line="609" w:lineRule="exact"/>
        <w:ind w:left="0" w:leftChars="0" w:right="0" w:firstLine="0" w:firstLineChars="0"/>
        <w:jc w:val="center"/>
        <w:textAlignment w:val="auto"/>
        <w:outlineLvl w:val="9"/>
        <w:rPr>
          <w:rFonts w:hint="default" w:ascii="仿宋_GB2312" w:hAnsi="仿宋_GB2312" w:eastAsia="仿宋_GB2312" w:cs="仿宋_GB2312"/>
          <w:b/>
          <w:bCs/>
          <w:color w:val="auto"/>
          <w:kern w:val="2"/>
          <w:sz w:val="32"/>
          <w:szCs w:val="32"/>
          <w:u w:val="none"/>
          <w:shd w:val="clear"/>
          <w:lang w:val="en-US" w:eastAsia="zh-CN" w:bidi="ar-SA"/>
        </w:rPr>
      </w:pPr>
      <w:bookmarkStart w:id="404" w:name="_Toc3345_WPSOffice_Level2"/>
      <w:r>
        <w:rPr>
          <w:rFonts w:hint="eastAsia" w:ascii="仿宋_GB2312" w:hAnsi="仿宋_GB2312" w:eastAsia="仿宋_GB2312" w:cs="仿宋_GB2312"/>
          <w:b/>
          <w:bCs/>
          <w:color w:val="auto"/>
          <w:kern w:val="2"/>
          <w:sz w:val="32"/>
          <w:szCs w:val="32"/>
          <w:u w:val="none"/>
          <w:shd w:val="clear"/>
          <w:lang w:val="en-US" w:eastAsia="zh-CN" w:bidi="ar-SA"/>
        </w:rPr>
        <w:t>第七节  推动妇女儿童发展和家庭建设</w:t>
      </w:r>
      <w:bookmarkEnd w:id="404"/>
    </w:p>
    <w:p>
      <w:pPr>
        <w:pStyle w:val="3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2"/>
        <w:jc w:val="both"/>
        <w:textAlignment w:val="auto"/>
        <w:outlineLvl w:val="9"/>
        <w:rPr>
          <w:rFonts w:hint="eastAsia" w:ascii="仿宋_GB2312" w:hAnsi="仿宋_GB2312" w:eastAsia="仿宋_GB2312" w:cs="仿宋_GB2312"/>
          <w:color w:val="auto"/>
          <w:kern w:val="2"/>
          <w:sz w:val="32"/>
          <w:szCs w:val="32"/>
          <w:u w:val="none"/>
          <w:shd w:val="clear"/>
          <w:lang w:val="en-US" w:eastAsia="zh-CN" w:bidi="ar-SA"/>
        </w:rPr>
      </w:pP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促进妇女全面发展。</w:t>
      </w:r>
      <w:r>
        <w:rPr>
          <w:rFonts w:hint="eastAsia" w:ascii="仿宋_GB2312" w:hAnsi="仿宋_GB2312" w:eastAsia="仿宋_GB2312" w:cs="仿宋_GB2312"/>
          <w:sz w:val="32"/>
          <w:szCs w:val="32"/>
        </w:rPr>
        <w:t>全面贯彻落实男女平等基本国策，坚持和完善促进男女平等、妇女全面发展的制度机制。实施绩溪县妇女发展规划。全方位优化妇女发展环境，通过制定政策、完善机制，促使妇女参与经济社会发展、享有改革发展成果的平等权利得到切实保障，提高妇女参与经济文化社会事务管理水平，充分发挥妇女在全面建设社会主义现代化国家中的“半边天”作用。拓宽妇女就业渠道，消除就业性别歧视。培养女科技人才，高质量促进妇女成长成才。积极构建以男女平等为核心的先进性别文化。严厉打击侵害妇女合法权益的违法犯罪行为。建立妇女享有全生命周期健康的管理、服务和保障体系，建立城乡生育补贴制度，增强妇女生育保障能力，提升生育水平。保障农村妇女土地权益。缩小妇女发展的城乡、区域、群体差距。加强特殊困难妇女群体民生保障。</w:t>
      </w:r>
      <w:r>
        <w:rPr>
          <w:rFonts w:hint="eastAsia" w:ascii="仿宋_GB2312" w:hAnsi="仿宋_GB2312" w:eastAsia="仿宋_GB2312" w:cs="仿宋_GB2312"/>
          <w:b/>
          <w:bCs/>
          <w:sz w:val="32"/>
          <w:szCs w:val="32"/>
        </w:rPr>
        <w:t>保障儿童优先发展。</w:t>
      </w:r>
      <w:r>
        <w:rPr>
          <w:rFonts w:hint="eastAsia" w:ascii="仿宋_GB2312" w:hAnsi="仿宋_GB2312" w:eastAsia="仿宋_GB2312" w:cs="仿宋_GB2312"/>
          <w:color w:val="auto"/>
          <w:kern w:val="2"/>
          <w:sz w:val="32"/>
          <w:szCs w:val="32"/>
          <w:u w:val="none"/>
          <w:shd w:val="clear"/>
          <w:lang w:val="en-US" w:eastAsia="zh-CN" w:bidi="ar-SA"/>
        </w:rPr>
        <w:t>落实好青少年发展规划各项任务，营造有利于青少年成长成才的良好环境。</w:t>
      </w:r>
      <w:r>
        <w:rPr>
          <w:rFonts w:hint="eastAsia" w:ascii="仿宋_GB2312" w:hAnsi="仿宋_GB2312" w:eastAsia="仿宋_GB2312" w:cs="仿宋_GB2312"/>
          <w:sz w:val="32"/>
          <w:szCs w:val="32"/>
        </w:rPr>
        <w:t>全面贯彻落实儿童优先原则，建立和完善促进儿童优先发展和全面发展的制度体系，保障资源配置对儿童基本需求的高度优先。实施绩溪县儿童发展规划。缩小儿童发展的城乡、区域、群体差距，保障儿童生存、发展、受保护和参与的权利。完善学校家庭社会协同育人机制，落实立德树人根本任务，促进儿童早期发展，探索实施学龄前儿童营养改善计划，全面提升儿童综合素质。完善儿童监护制度，健全基层儿童保护机制，加强留守儿童关爱服务，落实困境儿童保障制度。优化儿童发展环境，创建儿童友好城市和儿童友好社区，提高城乡社区儿童之家建设水平。提升儿童营养及食品用品质量安全水平，预防和控制儿童伤害。健全未成年人网络保护综合治理机制，提升儿童网络素养，严厉打击危害儿童身心健康的违法犯罪行为。预防未成年人违法犯罪。</w:t>
      </w:r>
      <w:r>
        <w:rPr>
          <w:rFonts w:hint="eastAsia" w:ascii="仿宋_GB2312" w:hAnsi="仿宋_GB2312" w:eastAsia="仿宋_GB2312" w:cs="仿宋_GB2312"/>
          <w:b/>
          <w:bCs/>
          <w:sz w:val="32"/>
          <w:szCs w:val="32"/>
        </w:rPr>
        <w:t>支持家庭发展。</w:t>
      </w:r>
      <w:r>
        <w:rPr>
          <w:rFonts w:hint="eastAsia" w:ascii="仿宋_GB2312" w:hAnsi="仿宋_GB2312" w:eastAsia="仿宋_GB2312" w:cs="仿宋_GB2312"/>
          <w:sz w:val="32"/>
          <w:szCs w:val="32"/>
        </w:rPr>
        <w:t>加强家庭、家教、家风建设。深入实施“家家幸福安康工程”。推动完善生育支持、儿童养育教育、老人赡养等政策，加强对困难家庭、失独家庭、单亲特困等特殊家庭的政策支持、救助和服务。充分发挥家庭家教家风在基层社会治理中的重要作用，建设平等、和睦、文明的婚姻家庭关系，完善婚姻家庭纠纷预防化解机制，预防和制止家庭暴力。建立完善覆盖城乡的家庭教育指导服务体系，加强家庭教育指导服务中心、服务站点、信息化服务平台等建设。促进发展家庭服务，构建普惠托育服务体系，健全基本养老服务体系，加快发展家政服务业。倡导夫妻共担家务，提升家务劳动社会化水平，探索实行父母带薪育儿假。</w:t>
      </w:r>
    </w:p>
    <w:p>
      <w:pPr>
        <w:pStyle w:val="37"/>
        <w:keepNext w:val="0"/>
        <w:keepLines w:val="0"/>
        <w:pageBreakBefore w:val="0"/>
        <w:widowControl w:val="0"/>
        <w:shd w:val="clear" w:color="auto" w:fill="auto"/>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color w:val="auto"/>
          <w:kern w:val="2"/>
          <w:sz w:val="32"/>
          <w:szCs w:val="32"/>
          <w:u w:val="none"/>
          <w:shd w:val="clear"/>
          <w:lang w:val="en-US" w:eastAsia="zh-CN" w:bidi="ar-SA"/>
        </w:rPr>
      </w:pPr>
    </w:p>
    <w:p>
      <w:pPr>
        <w:spacing w:line="600" w:lineRule="exact"/>
        <w:ind w:left="0" w:leftChars="0" w:firstLine="0" w:firstLineChars="0"/>
        <w:jc w:val="center"/>
        <w:outlineLvl w:val="1"/>
        <w:rPr>
          <w:rFonts w:hint="eastAsia" w:ascii="仿宋_GB2312" w:hAnsi="仿宋_GB2312" w:eastAsia="仿宋_GB2312" w:cs="仿宋_GB2312"/>
          <w:b/>
          <w:bCs/>
          <w:color w:val="auto"/>
          <w:sz w:val="32"/>
          <w:szCs w:val="32"/>
          <w:lang w:eastAsia="zh-CN"/>
        </w:rPr>
      </w:pPr>
      <w:bookmarkStart w:id="405" w:name="_Toc19137_WPSOffice_Level2"/>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 xml:space="preserve">节  </w:t>
      </w:r>
      <w:r>
        <w:rPr>
          <w:rFonts w:hint="eastAsia" w:ascii="仿宋_GB2312" w:hAnsi="仿宋_GB2312" w:eastAsia="仿宋_GB2312" w:cs="仿宋_GB2312"/>
          <w:b/>
          <w:bCs/>
          <w:color w:val="auto"/>
          <w:sz w:val="32"/>
          <w:szCs w:val="32"/>
          <w:lang w:val="en-US" w:eastAsia="zh-CN"/>
        </w:rPr>
        <w:t>繁荣发展</w:t>
      </w:r>
      <w:r>
        <w:rPr>
          <w:rFonts w:hint="eastAsia" w:ascii="仿宋_GB2312" w:hAnsi="仿宋_GB2312" w:eastAsia="仿宋_GB2312" w:cs="仿宋_GB2312"/>
          <w:b/>
          <w:bCs/>
          <w:color w:val="auto"/>
          <w:sz w:val="32"/>
          <w:szCs w:val="32"/>
        </w:rPr>
        <w:t>文化</w:t>
      </w:r>
      <w:r>
        <w:rPr>
          <w:rFonts w:hint="eastAsia" w:ascii="仿宋_GB2312" w:hAnsi="仿宋_GB2312" w:eastAsia="仿宋_GB2312" w:cs="仿宋_GB2312"/>
          <w:b/>
          <w:bCs/>
          <w:color w:val="auto"/>
          <w:sz w:val="32"/>
          <w:szCs w:val="32"/>
          <w:lang w:eastAsia="zh-CN"/>
        </w:rPr>
        <w:t>事业</w:t>
      </w:r>
      <w:bookmarkEnd w:id="405"/>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1"/>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泛开展“举旗帜、送理论”专题宣讲，用好“学习强国”等网络学习平台。坚定文化自信，自觉承担起举旗帜、聚民心、育新人、兴文化、展形象的使命任务。充分发挥社会主义核心价值观干部党性教育基地、新时代文明实践中心（站、所）平台作用，推动理想信念教育常态化、制度化。加快推进媒体深度融合发展，构建全媒体传播体系。加快国家级徽州文化生态保护区建设，深化群众性文明创建活动，深入实施百村家风家训引领工程，建立培育文明乡风、良好家风、淳朴民风长效机制。持续开展“送戏进万村”“文化消费季”等文化惠民工程，健全支持开展群众性文化活动机制，鼓励社会力量参与公共文化服务体系建设。</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406" w:name="_Toc31221"/>
      <w:bookmarkStart w:id="407" w:name="_Toc3248_WPSOffice_Level1"/>
      <w:bookmarkStart w:id="408" w:name="_Toc4490"/>
      <w:bookmarkStart w:id="409" w:name="_Toc16451"/>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r>
        <w:rPr>
          <w:rFonts w:hint="eastAsia" w:ascii="方正小标宋简体" w:hAnsi="方正小标宋简体" w:eastAsia="方正小标宋简体" w:cs="方正小标宋简体"/>
          <w:b w:val="0"/>
          <w:bCs w:val="0"/>
          <w:color w:val="auto"/>
          <w:sz w:val="36"/>
          <w:szCs w:val="36"/>
          <w:lang w:eastAsia="zh-CN"/>
        </w:rPr>
        <w:t>第十章</w:t>
      </w:r>
      <w:r>
        <w:rPr>
          <w:rFonts w:hint="eastAsia" w:ascii="方正小标宋简体" w:hAnsi="方正小标宋简体" w:eastAsia="方正小标宋简体" w:cs="方正小标宋简体"/>
          <w:b w:val="0"/>
          <w:bCs w:val="0"/>
          <w:color w:val="auto"/>
          <w:sz w:val="36"/>
          <w:szCs w:val="36"/>
          <w:lang w:val="en-US" w:eastAsia="zh-CN"/>
        </w:rPr>
        <w:t xml:space="preserve">  </w:t>
      </w:r>
      <w:r>
        <w:rPr>
          <w:rFonts w:hint="eastAsia" w:ascii="方正小标宋简体" w:hAnsi="方正小标宋简体" w:eastAsia="方正小标宋简体" w:cs="方正小标宋简体"/>
          <w:b w:val="0"/>
          <w:bCs w:val="0"/>
          <w:color w:val="auto"/>
          <w:sz w:val="36"/>
          <w:szCs w:val="36"/>
          <w:lang w:eastAsia="zh-CN"/>
        </w:rPr>
        <w:t>统筹发展和安全  建设更高</w:t>
      </w:r>
      <w:bookmarkEnd w:id="406"/>
      <w:bookmarkEnd w:id="407"/>
      <w:bookmarkEnd w:id="408"/>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0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410" w:name="_Toc17236_WPSOffice_Level2"/>
      <w:bookmarkStart w:id="411" w:name="_Toc28473_WPSOffice_Level2"/>
      <w:bookmarkStart w:id="412" w:name="_Toc2163"/>
      <w:bookmarkStart w:id="413" w:name="_Toc5612"/>
      <w:bookmarkStart w:id="414" w:name="_Toc4973_WPSOffice_Level2"/>
      <w:bookmarkStart w:id="415" w:name="_Toc29705_WPSOffice_Level2"/>
      <w:bookmarkStart w:id="416" w:name="_Toc13872_WPSOffice_Level2"/>
      <w:bookmarkStart w:id="417" w:name="_Toc17130_WPSOffice_Level2"/>
      <w:bookmarkStart w:id="418" w:name="_Toc8917_WPSOffice_Level2"/>
      <w:bookmarkStart w:id="419" w:name="_Toc13067_WPSOffice_Level2"/>
      <w:bookmarkStart w:id="420" w:name="_Toc28007_WPSOffice_Level2"/>
      <w:r>
        <w:rPr>
          <w:rFonts w:hint="eastAsia" w:ascii="方正小标宋简体" w:hAnsi="方正小标宋简体" w:eastAsia="方正小标宋简体" w:cs="方正小标宋简体"/>
          <w:b w:val="0"/>
          <w:bCs w:val="0"/>
          <w:color w:val="auto"/>
          <w:sz w:val="36"/>
          <w:szCs w:val="36"/>
          <w:lang w:eastAsia="zh-CN"/>
        </w:rPr>
        <w:t>水平的平安绩溪</w:t>
      </w:r>
      <w:bookmarkEnd w:id="409"/>
      <w:bookmarkEnd w:id="410"/>
      <w:bookmarkEnd w:id="411"/>
      <w:bookmarkEnd w:id="412"/>
      <w:bookmarkEnd w:id="413"/>
      <w:bookmarkEnd w:id="414"/>
      <w:bookmarkEnd w:id="415"/>
      <w:bookmarkEnd w:id="416"/>
      <w:bookmarkEnd w:id="417"/>
      <w:bookmarkEnd w:id="418"/>
      <w:bookmarkEnd w:id="419"/>
      <w:bookmarkEnd w:id="420"/>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jc w:val="center"/>
        <w:textAlignment w:val="auto"/>
        <w:outlineLvl w:val="1"/>
        <w:rPr>
          <w:rFonts w:hint="eastAsia" w:ascii="方正小标宋简体" w:hAnsi="方正小标宋简体" w:eastAsia="方正小标宋简体" w:cs="方正小标宋简体"/>
          <w:b w:val="0"/>
          <w:bCs w:val="0"/>
          <w:color w:val="auto"/>
          <w:sz w:val="40"/>
          <w:szCs w:val="40"/>
          <w:lang w:eastAsia="zh-CN"/>
        </w:rPr>
      </w:pPr>
    </w:p>
    <w:p>
      <w:pPr>
        <w:pStyle w:val="32"/>
        <w:keepNext w:val="0"/>
        <w:keepLines w:val="0"/>
        <w:pageBreakBefore w:val="0"/>
        <w:widowControl w:val="0"/>
        <w:tabs>
          <w:tab w:val="left" w:pos="1642"/>
          <w:tab w:val="left" w:pos="1643"/>
        </w:tabs>
        <w:kinsoku/>
        <w:wordWrap/>
        <w:overflowPunct/>
        <w:topLinePunct w:val="0"/>
        <w:autoSpaceDE/>
        <w:autoSpaceDN/>
        <w:bidi w:val="0"/>
        <w:adjustRightInd/>
        <w:snapToGrid/>
        <w:spacing w:line="620" w:lineRule="exact"/>
        <w:ind w:firstLine="632"/>
        <w:textAlignment w:val="auto"/>
        <w:outlineLvl w:val="1"/>
        <w:rPr>
          <w:rFonts w:ascii="仿宋_GB2312" w:hAnsi="仿宋_GB2312" w:eastAsia="仿宋_GB2312" w:cs="仿宋_GB2312"/>
          <w:color w:val="auto"/>
          <w:spacing w:val="-2"/>
          <w:sz w:val="32"/>
          <w:szCs w:val="32"/>
          <w:lang w:val="zh-CN"/>
        </w:rPr>
      </w:pPr>
      <w:r>
        <w:rPr>
          <w:rFonts w:hint="eastAsia" w:ascii="仿宋_GB2312" w:hAnsi="仿宋_GB2312" w:eastAsia="仿宋_GB2312" w:cs="仿宋_GB2312"/>
          <w:color w:val="auto"/>
          <w:spacing w:val="-2"/>
          <w:sz w:val="32"/>
          <w:szCs w:val="32"/>
          <w:lang w:val="zh-CN"/>
        </w:rPr>
        <w:t>全面落实总体国家安全观，统筹传统安全和非传统安全，深入落实防范化解重大风险 “1+9+N” 方案体系，提高预测预警预防能力，全方位防范和化解影响现代化进程的各种风险，努力建设更高水平的平安绩溪。</w:t>
      </w:r>
    </w:p>
    <w:p>
      <w:pPr>
        <w:pStyle w:val="32"/>
        <w:keepNext w:val="0"/>
        <w:keepLines w:val="0"/>
        <w:pageBreakBefore w:val="0"/>
        <w:widowControl w:val="0"/>
        <w:tabs>
          <w:tab w:val="left" w:pos="1642"/>
          <w:tab w:val="left" w:pos="1643"/>
        </w:tabs>
        <w:kinsoku/>
        <w:wordWrap/>
        <w:overflowPunct/>
        <w:topLinePunct w:val="0"/>
        <w:autoSpaceDE/>
        <w:autoSpaceDN/>
        <w:bidi w:val="0"/>
        <w:adjustRightInd/>
        <w:snapToGrid/>
        <w:spacing w:line="340" w:lineRule="exact"/>
        <w:ind w:firstLine="640"/>
        <w:textAlignment w:val="auto"/>
        <w:outlineLvl w:val="1"/>
        <w:rPr>
          <w:rFonts w:ascii="仿宋_GB2312" w:hAnsi="仿宋_GB2312" w:eastAsia="仿宋_GB2312" w:cs="仿宋_GB2312"/>
          <w:color w:val="auto"/>
          <w:sz w:val="32"/>
          <w:szCs w:val="32"/>
        </w:rPr>
      </w:pPr>
    </w:p>
    <w:p>
      <w:pPr>
        <w:pStyle w:val="4"/>
        <w:pageBreakBefore w:val="0"/>
        <w:widowControl w:val="0"/>
        <w:kinsoku/>
        <w:wordWrap/>
        <w:overflowPunct/>
        <w:topLinePunct w:val="0"/>
        <w:autoSpaceDE/>
        <w:autoSpaceDN/>
        <w:bidi w:val="0"/>
        <w:spacing w:before="0" w:after="0" w:line="560" w:lineRule="exact"/>
        <w:jc w:val="center"/>
        <w:textAlignment w:val="auto"/>
        <w:outlineLvl w:val="1"/>
        <w:rPr>
          <w:rFonts w:ascii="仿宋_GB2312" w:hAnsi="楷体" w:eastAsia="仿宋_GB2312"/>
          <w:color w:val="auto"/>
          <w:szCs w:val="30"/>
        </w:rPr>
      </w:pPr>
      <w:bookmarkStart w:id="421" w:name="_Toc17193"/>
      <w:bookmarkStart w:id="422" w:name="_Toc5526"/>
      <w:bookmarkStart w:id="423" w:name="_Toc18671_WPSOffice_Level2"/>
      <w:bookmarkStart w:id="424" w:name="_Toc20180"/>
      <w:r>
        <w:rPr>
          <w:rFonts w:hint="eastAsia" w:ascii="仿宋_GB2312" w:hAnsi="楷体" w:eastAsia="仿宋_GB2312"/>
          <w:color w:val="auto"/>
          <w:szCs w:val="30"/>
        </w:rPr>
        <w:t>第一节  坚决捍卫政治安全</w:t>
      </w:r>
      <w:bookmarkEnd w:id="421"/>
      <w:bookmarkEnd w:id="422"/>
      <w:bookmarkEnd w:id="423"/>
      <w:bookmarkEnd w:id="424"/>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1"/>
        <w:rPr>
          <w:rFonts w:ascii="Times New Roman" w:hAnsi="Times New Roman" w:eastAsia="仿宋_GB2312"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1"/>
        <w:rPr>
          <w:rFonts w:hint="eastAsia" w:ascii="仿宋_GB2312" w:hAnsi="仿宋_GB2312" w:eastAsia="仿宋_GB2312" w:cs="仿宋_GB2312"/>
          <w:color w:val="auto"/>
          <w:sz w:val="32"/>
          <w:szCs w:val="32"/>
        </w:rPr>
      </w:pPr>
      <w:bookmarkStart w:id="425" w:name="_Toc11345"/>
      <w:bookmarkStart w:id="426" w:name="_Toc27063"/>
      <w:bookmarkStart w:id="427" w:name="_Toc14527"/>
      <w:bookmarkStart w:id="428" w:name="_Toc22584"/>
      <w:bookmarkStart w:id="429" w:name="_Toc3452"/>
      <w:bookmarkStart w:id="430" w:name="_Toc31638"/>
      <w:bookmarkStart w:id="431" w:name="_Toc21544"/>
      <w:bookmarkStart w:id="432" w:name="_Toc7048"/>
      <w:bookmarkStart w:id="433" w:name="_Toc6478"/>
      <w:bookmarkStart w:id="434" w:name="_Toc23832"/>
      <w:bookmarkStart w:id="435" w:name="_Toc32193"/>
      <w:bookmarkStart w:id="436" w:name="_Toc22436"/>
      <w:bookmarkStart w:id="437" w:name="_Toc12137"/>
      <w:bookmarkStart w:id="438" w:name="_Toc28517"/>
      <w:r>
        <w:rPr>
          <w:rFonts w:hint="eastAsia" w:ascii="仿宋_GB2312" w:hAnsi="仿宋_GB2312" w:eastAsia="仿宋_GB2312" w:cs="仿宋_GB2312"/>
          <w:color w:val="auto"/>
          <w:sz w:val="32"/>
          <w:szCs w:val="32"/>
        </w:rPr>
        <w:t>把维护国家政治安全特别是政权安全、制度安全放在第一位，严密防范和严厉打击敌对势力渗透、破坏、颠覆、分裂活动。加强意识形态阵地建设和管理。加强国家安全宣传教育，增强全民国家安全意识，巩固国家安全人民防线。深化推动国防动员和后备力量建设，大力支持国防和军队现代化，完善国防动员体系，加强人民防空建设，推进军民融合发展，深入推进双拥模范城创建，</w:t>
      </w:r>
      <w:r>
        <w:rPr>
          <w:rFonts w:hint="eastAsia" w:ascii="仿宋_GB2312" w:hAnsi="仿宋_GB2312" w:eastAsia="仿宋_GB2312" w:cs="仿宋_GB2312"/>
          <w:color w:val="auto"/>
          <w:sz w:val="32"/>
          <w:szCs w:val="32"/>
          <w:lang w:val="en-US" w:eastAsia="zh-CN"/>
        </w:rPr>
        <w:t>提高军供站备战应战能力，</w:t>
      </w:r>
      <w:r>
        <w:rPr>
          <w:rFonts w:hint="eastAsia" w:ascii="仿宋_GB2312" w:hAnsi="仿宋_GB2312" w:eastAsia="仿宋_GB2312" w:cs="仿宋_GB2312"/>
          <w:color w:val="auto"/>
          <w:sz w:val="32"/>
          <w:szCs w:val="32"/>
        </w:rPr>
        <w:t>巩固军政军民团结。</w:t>
      </w:r>
    </w:p>
    <w:p>
      <w:pPr>
        <w:pStyle w:val="4"/>
        <w:keepNext/>
        <w:keepLines/>
        <w:pageBreakBefore w:val="0"/>
        <w:widowControl w:val="0"/>
        <w:kinsoku/>
        <w:wordWrap/>
        <w:overflowPunct/>
        <w:topLinePunct w:val="0"/>
        <w:autoSpaceDE/>
        <w:autoSpaceDN/>
        <w:bidi w:val="0"/>
        <w:adjustRightInd/>
        <w:snapToGrid/>
        <w:spacing w:before="318" w:beforeLines="100" w:after="318" w:afterLines="100" w:line="560" w:lineRule="exact"/>
        <w:jc w:val="center"/>
        <w:textAlignment w:val="auto"/>
        <w:outlineLvl w:val="1"/>
        <w:rPr>
          <w:rFonts w:ascii="仿宋_GB2312" w:hAnsi="仿宋_GB2312" w:eastAsia="仿宋_GB2312" w:cs="仿宋_GB2312"/>
          <w:color w:val="auto"/>
          <w:sz w:val="32"/>
          <w:szCs w:val="32"/>
        </w:rPr>
      </w:pPr>
      <w:bookmarkStart w:id="439" w:name="_Toc9426_WPSOffice_Level2"/>
      <w:bookmarkStart w:id="440" w:name="_Toc2280"/>
      <w:bookmarkStart w:id="441" w:name="_Toc15000"/>
      <w:r>
        <w:rPr>
          <w:rFonts w:hint="eastAsia" w:ascii="仿宋_GB2312" w:hAnsi="楷体" w:eastAsia="仿宋_GB2312"/>
          <w:color w:val="auto"/>
          <w:szCs w:val="30"/>
        </w:rPr>
        <w:t xml:space="preserve">第二节 </w:t>
      </w:r>
      <w:r>
        <w:rPr>
          <w:rFonts w:hint="eastAsia" w:ascii="仿宋_GB2312" w:hAnsi="楷体" w:eastAsia="仿宋_GB2312"/>
          <w:color w:val="auto"/>
          <w:szCs w:val="30"/>
          <w:lang w:val="en-US" w:eastAsia="zh-CN"/>
        </w:rPr>
        <w:t xml:space="preserve"> </w:t>
      </w:r>
      <w:r>
        <w:rPr>
          <w:rFonts w:hint="eastAsia" w:ascii="仿宋_GB2312" w:hAnsi="楷体" w:eastAsia="仿宋_GB2312"/>
          <w:color w:val="auto"/>
          <w:szCs w:val="30"/>
        </w:rPr>
        <w:t>维护经济运行安全</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32"/>
        <w:keepNext w:val="0"/>
        <w:keepLines w:val="0"/>
        <w:pageBreakBefore w:val="0"/>
        <w:widowControl w:val="0"/>
        <w:tabs>
          <w:tab w:val="left" w:pos="1642"/>
          <w:tab w:val="left" w:pos="1643"/>
        </w:tabs>
        <w:kinsoku/>
        <w:wordWrap/>
        <w:overflowPunct/>
        <w:topLinePunct w:val="0"/>
        <w:autoSpaceDE/>
        <w:autoSpaceDN/>
        <w:bidi w:val="0"/>
        <w:adjustRightInd/>
        <w:snapToGrid/>
        <w:spacing w:line="620" w:lineRule="exact"/>
        <w:ind w:firstLine="640"/>
        <w:textAlignment w:val="auto"/>
        <w:outlineLvl w:val="1"/>
        <w:rPr>
          <w:rFonts w:ascii="仿宋_GB2312" w:hAnsi="仿宋_GB2312" w:eastAsia="仿宋_GB2312" w:cs="仿宋_GB2312"/>
          <w:color w:val="auto"/>
          <w:spacing w:val="-2"/>
          <w:sz w:val="32"/>
          <w:szCs w:val="32"/>
          <w:lang w:val="zh-CN"/>
        </w:rPr>
      </w:pPr>
      <w:r>
        <w:rPr>
          <w:rFonts w:hint="eastAsia" w:ascii="仿宋_GB2312" w:hAnsi="仿宋_GB2312" w:eastAsia="仿宋_GB2312" w:cs="仿宋_GB2312"/>
          <w:color w:val="auto"/>
          <w:sz w:val="32"/>
          <w:szCs w:val="32"/>
        </w:rPr>
        <w:t>加强经济安全风险预警、防控机制和能力建设，织密织牢经济风险监测网络。完善地方金融监管规则，坚决守住不发生区域性经济金融风险的底线。加强产业链供应链安全保障，开展常态化断链断供风险排查。构建统一高效的粮食和重要农产品供应保障体系，确保粮食安全和种子安全。提高水资源集约安全利用水平。加强城市安全保障，维护重要基础设施安全，维护新型领域安全。</w:t>
      </w:r>
    </w:p>
    <w:p>
      <w:pPr>
        <w:pStyle w:val="32"/>
        <w:keepNext w:val="0"/>
        <w:keepLines w:val="0"/>
        <w:pageBreakBefore w:val="0"/>
        <w:widowControl w:val="0"/>
        <w:tabs>
          <w:tab w:val="left" w:pos="1642"/>
          <w:tab w:val="left" w:pos="1643"/>
        </w:tabs>
        <w:kinsoku/>
        <w:wordWrap/>
        <w:overflowPunct/>
        <w:topLinePunct w:val="0"/>
        <w:autoSpaceDE/>
        <w:autoSpaceDN/>
        <w:bidi w:val="0"/>
        <w:adjustRightInd/>
        <w:snapToGrid/>
        <w:spacing w:line="400" w:lineRule="exact"/>
        <w:ind w:firstLine="632"/>
        <w:textAlignment w:val="auto"/>
        <w:outlineLvl w:val="1"/>
        <w:rPr>
          <w:rFonts w:ascii="仿宋_GB2312" w:hAnsi="仿宋_GB2312" w:eastAsia="仿宋_GB2312" w:cs="仿宋_GB2312"/>
          <w:color w:val="auto"/>
          <w:spacing w:val="-2"/>
          <w:sz w:val="32"/>
          <w:szCs w:val="32"/>
          <w:lang w:val="zh-CN"/>
        </w:rPr>
      </w:pPr>
    </w:p>
    <w:p>
      <w:pPr>
        <w:pStyle w:val="4"/>
        <w:pageBreakBefore w:val="0"/>
        <w:widowControl w:val="0"/>
        <w:kinsoku/>
        <w:wordWrap/>
        <w:overflowPunct/>
        <w:topLinePunct w:val="0"/>
        <w:autoSpaceDE/>
        <w:autoSpaceDN/>
        <w:bidi w:val="0"/>
        <w:spacing w:before="0" w:after="0" w:line="560" w:lineRule="exact"/>
        <w:jc w:val="center"/>
        <w:textAlignment w:val="auto"/>
        <w:outlineLvl w:val="1"/>
        <w:rPr>
          <w:rFonts w:ascii="仿宋_GB2312" w:hAnsi="仿宋_GB2312" w:eastAsia="仿宋_GB2312" w:cs="仿宋_GB2312"/>
          <w:color w:val="auto"/>
          <w:szCs w:val="30"/>
        </w:rPr>
      </w:pPr>
      <w:bookmarkStart w:id="442" w:name="_Toc25346"/>
      <w:bookmarkStart w:id="443" w:name="_Toc11607"/>
      <w:bookmarkStart w:id="444" w:name="_Toc25664"/>
      <w:bookmarkStart w:id="445" w:name="_Toc16090"/>
      <w:bookmarkStart w:id="446" w:name="_Toc22340"/>
      <w:bookmarkStart w:id="447" w:name="_Toc19326"/>
      <w:bookmarkStart w:id="448" w:name="_Toc17765"/>
      <w:bookmarkStart w:id="449" w:name="_Toc30"/>
      <w:bookmarkStart w:id="450" w:name="_Toc22035"/>
      <w:bookmarkStart w:id="451" w:name="_Toc8332"/>
      <w:bookmarkStart w:id="452" w:name="_Toc28677"/>
      <w:bookmarkStart w:id="453" w:name="_Toc8593"/>
      <w:bookmarkStart w:id="454" w:name="_Toc10147"/>
      <w:bookmarkStart w:id="455" w:name="_Toc4214"/>
      <w:bookmarkStart w:id="456" w:name="_Toc16450"/>
      <w:bookmarkStart w:id="457" w:name="_Toc7350"/>
      <w:bookmarkStart w:id="458" w:name="_Toc23300_WPSOffice_Level2"/>
      <w:r>
        <w:rPr>
          <w:rFonts w:hint="eastAsia" w:ascii="仿宋_GB2312" w:hAnsi="楷体" w:eastAsia="仿宋_GB2312"/>
          <w:color w:val="auto"/>
          <w:szCs w:val="30"/>
        </w:rPr>
        <w:t xml:space="preserve">第三节 </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Fonts w:hint="eastAsia" w:ascii="仿宋_GB2312" w:hAnsi="楷体" w:eastAsia="仿宋_GB2312"/>
          <w:color w:val="auto"/>
          <w:szCs w:val="30"/>
          <w:lang w:val="en-US" w:eastAsia="zh-CN"/>
        </w:rPr>
        <w:t xml:space="preserve"> </w:t>
      </w:r>
      <w:r>
        <w:rPr>
          <w:rFonts w:hint="eastAsia" w:ascii="仿宋_GB2312" w:hAnsi="仿宋_GB2312" w:eastAsia="仿宋_GB2312" w:cs="仿宋_GB2312"/>
          <w:color w:val="auto"/>
        </w:rPr>
        <w:t>加强和创新社会治理</w:t>
      </w:r>
      <w:bookmarkEnd w:id="456"/>
      <w:bookmarkEnd w:id="457"/>
      <w:bookmarkEnd w:id="458"/>
    </w:p>
    <w:p>
      <w:pPr>
        <w:pStyle w:val="32"/>
        <w:keepNext w:val="0"/>
        <w:keepLines w:val="0"/>
        <w:pageBreakBefore w:val="0"/>
        <w:widowControl w:val="0"/>
        <w:tabs>
          <w:tab w:val="left" w:pos="1642"/>
          <w:tab w:val="left" w:pos="1643"/>
        </w:tabs>
        <w:kinsoku/>
        <w:wordWrap/>
        <w:overflowPunct/>
        <w:topLinePunct w:val="0"/>
        <w:autoSpaceDE/>
        <w:autoSpaceDN/>
        <w:bidi w:val="0"/>
        <w:adjustRightInd/>
        <w:snapToGrid/>
        <w:spacing w:line="300" w:lineRule="exact"/>
        <w:ind w:firstLine="640"/>
        <w:jc w:val="center"/>
        <w:textAlignment w:val="auto"/>
        <w:outlineLvl w:val="1"/>
        <w:rPr>
          <w:rFonts w:ascii="仿宋_GB2312" w:hAnsi="仿宋_GB2312" w:eastAsia="仿宋_GB2312" w:cs="仿宋_GB2312"/>
          <w:color w:val="auto"/>
          <w:sz w:val="32"/>
          <w:szCs w:val="32"/>
        </w:rPr>
      </w:pPr>
    </w:p>
    <w:p>
      <w:pPr>
        <w:pageBreakBefore w:val="0"/>
        <w:widowControl w:val="0"/>
        <w:kinsoku/>
        <w:wordWrap/>
        <w:overflowPunct/>
        <w:topLinePunct w:val="0"/>
        <w:autoSpaceDE/>
        <w:autoSpaceDN/>
        <w:bidi w:val="0"/>
        <w:adjustRightInd/>
        <w:snapToGrid/>
        <w:spacing w:line="640" w:lineRule="exact"/>
        <w:ind w:firstLine="640" w:firstLineChars="200"/>
        <w:textAlignment w:val="auto"/>
        <w:outlineLvl w:val="1"/>
        <w:rPr>
          <w:rFonts w:hint="eastAsia" w:ascii="仿宋_GB2312" w:eastAsia="仿宋_GB2312"/>
          <w:color w:val="auto"/>
          <w:sz w:val="32"/>
          <w:szCs w:val="32"/>
        </w:rPr>
      </w:pPr>
      <w:r>
        <w:rPr>
          <w:rFonts w:hint="eastAsia" w:ascii="仿宋_GB2312" w:eastAsia="仿宋_GB2312"/>
          <w:color w:val="auto"/>
          <w:sz w:val="32"/>
          <w:szCs w:val="32"/>
        </w:rPr>
        <w:t>加强</w:t>
      </w:r>
      <w:r>
        <w:rPr>
          <w:rFonts w:hint="eastAsia" w:ascii="仿宋_GB2312" w:eastAsia="仿宋_GB2312"/>
          <w:color w:val="auto"/>
          <w:sz w:val="32"/>
          <w:szCs w:val="32"/>
          <w:lang w:val="en-US" w:eastAsia="zh-CN"/>
        </w:rPr>
        <w:t>法治</w:t>
      </w:r>
      <w:r>
        <w:rPr>
          <w:rFonts w:hint="eastAsia" w:ascii="仿宋_GB2312" w:eastAsia="仿宋_GB2312"/>
          <w:color w:val="auto"/>
          <w:sz w:val="32"/>
          <w:szCs w:val="32"/>
        </w:rPr>
        <w:t>政府建设，</w:t>
      </w:r>
      <w:r>
        <w:rPr>
          <w:rFonts w:hint="eastAsia" w:ascii="仿宋_GB2312" w:eastAsia="仿宋_GB2312"/>
          <w:color w:val="auto"/>
          <w:sz w:val="32"/>
          <w:szCs w:val="32"/>
          <w:lang w:val="en-US" w:eastAsia="zh-CN"/>
        </w:rPr>
        <w:t>深入推进依法行政和政府信息公开，健全重大行政决策机制，推进行政决策的科学化、民主化、法制化。加强法治社会建设，持续推进</w:t>
      </w:r>
      <w:r>
        <w:rPr>
          <w:rFonts w:hint="eastAsia" w:ascii="仿宋_GB2312" w:eastAsia="仿宋_GB2312"/>
          <w:color w:val="auto"/>
          <w:sz w:val="32"/>
          <w:szCs w:val="32"/>
        </w:rPr>
        <w:t>“八五”普法工作</w:t>
      </w:r>
      <w:r>
        <w:rPr>
          <w:rFonts w:hint="eastAsia" w:ascii="仿宋_GB2312" w:eastAsia="仿宋_GB2312"/>
          <w:color w:val="auto"/>
          <w:sz w:val="32"/>
          <w:szCs w:val="32"/>
          <w:lang w:eastAsia="zh-CN"/>
        </w:rPr>
        <w:t>，</w:t>
      </w:r>
      <w:r>
        <w:rPr>
          <w:rFonts w:hint="eastAsia" w:ascii="仿宋_GB2312" w:eastAsia="仿宋_GB2312"/>
          <w:color w:val="auto"/>
          <w:sz w:val="32"/>
          <w:szCs w:val="32"/>
        </w:rPr>
        <w:t>深入实施百村善治示范工程，健全党组织领导的自治、法治、德治相结合的城乡基层社会治理体系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丰富完善基层民主实践形式</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深化平安绩溪建设，完善基层社会治安综合治理，加快推进</w:t>
      </w:r>
      <w:r>
        <w:rPr>
          <w:rFonts w:hint="eastAsia" w:ascii="仿宋_GB2312" w:eastAsia="仿宋_GB2312"/>
          <w:color w:val="auto"/>
          <w:sz w:val="32"/>
          <w:szCs w:val="32"/>
          <w:lang w:val="en-US" w:eastAsia="zh-CN"/>
        </w:rPr>
        <w:t>社会</w:t>
      </w:r>
      <w:r>
        <w:rPr>
          <w:rFonts w:hint="eastAsia" w:ascii="仿宋_GB2312" w:eastAsia="仿宋_GB2312"/>
          <w:color w:val="auto"/>
          <w:sz w:val="32"/>
          <w:szCs w:val="32"/>
        </w:rPr>
        <w:t>治安防控体系立体化、法治化、专业化、智能化</w:t>
      </w:r>
      <w:r>
        <w:rPr>
          <w:rFonts w:hint="eastAsia" w:ascii="仿宋_GB2312" w:eastAsia="仿宋_GB2312"/>
          <w:color w:val="auto"/>
          <w:sz w:val="32"/>
          <w:szCs w:val="32"/>
          <w:lang w:eastAsia="zh-CN"/>
        </w:rPr>
        <w:t>。</w:t>
      </w:r>
      <w:r>
        <w:rPr>
          <w:rFonts w:hint="eastAsia" w:ascii="仿宋_GB2312" w:eastAsia="仿宋_GB2312"/>
          <w:color w:val="auto"/>
          <w:sz w:val="32"/>
          <w:szCs w:val="32"/>
        </w:rPr>
        <w:t>常态化开展“扫黑除恶”斗争、“守护平安”行动，坚决打击黄赌毒和各种刑事犯罪活动。坚持和发展新时代“枫桥经验”，健全社会矛盾纠纷多元预防调处化解综合机制，大力治理重复信访，化解信访积案，巩固拓展信访突出问题“深督导、重化解、促落实”专项行动成果，将矛盾纠纷化解在基层，将和谐稳定措施落实在基层。加强基础建设，努力提高全县应急处突能力</w:t>
      </w:r>
      <w:r>
        <w:rPr>
          <w:rFonts w:hint="eastAsia" w:ascii="仿宋_GB2312" w:eastAsia="仿宋_GB2312"/>
          <w:color w:val="auto"/>
          <w:sz w:val="32"/>
          <w:szCs w:val="32"/>
          <w:lang w:eastAsia="zh-CN"/>
        </w:rPr>
        <w:t>，</w:t>
      </w:r>
      <w:r>
        <w:rPr>
          <w:rFonts w:hint="eastAsia" w:ascii="仿宋_GB2312" w:eastAsia="仿宋_GB2312"/>
          <w:color w:val="auto"/>
          <w:sz w:val="32"/>
          <w:szCs w:val="32"/>
        </w:rPr>
        <w:t>完善和落实安全生产责任和管理制度，推进安全生产“铸安”行动常态化实效化，把安全生产贯穿经济社会发展各领域、全过程。持续推进社会信用体系建设,着力营造践诺守信的良好社会氛围</w:t>
      </w:r>
      <w:r>
        <w:rPr>
          <w:rFonts w:hint="eastAsia" w:ascii="仿宋_GB2312" w:eastAsia="仿宋_GB2312"/>
          <w:color w:val="auto"/>
          <w:sz w:val="32"/>
          <w:szCs w:val="32"/>
          <w:lang w:eastAsia="zh-CN"/>
        </w:rPr>
        <w:t>。</w:t>
      </w:r>
      <w:r>
        <w:rPr>
          <w:rFonts w:hint="eastAsia" w:ascii="仿宋_GB2312" w:eastAsia="仿宋_GB2312"/>
          <w:color w:val="auto"/>
          <w:sz w:val="32"/>
          <w:szCs w:val="32"/>
        </w:rPr>
        <w:t>完善食品药品安全监管制度，全力解决好老百姓急难愁盼问题，让人民群众获得感、幸福感、安全感更加充实、更有保障、更可持续。</w:t>
      </w:r>
    </w:p>
    <w:p>
      <w:pPr>
        <w:pStyle w:val="2"/>
      </w:pPr>
    </w:p>
    <w:tbl>
      <w:tblPr>
        <w:tblStyle w:val="14"/>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870"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outlineLvl w:val="1"/>
              <w:rPr>
                <w:rFonts w:hint="eastAsia" w:ascii="仿宋_GB2312" w:hAnsi="仿宋_GB2312" w:eastAsia="仿宋_GB2312" w:cs="仿宋_GB2312"/>
                <w:color w:val="auto"/>
                <w:kern w:val="0"/>
                <w:sz w:val="28"/>
                <w:szCs w:val="28"/>
                <w:lang w:val="zh-CN"/>
              </w:rPr>
            </w:pPr>
            <w:r>
              <w:rPr>
                <w:rFonts w:hint="eastAsia" w:ascii="仿宋_GB2312" w:hAnsi="仿宋_GB2312" w:eastAsia="仿宋_GB2312" w:cs="仿宋_GB2312"/>
                <w:b/>
                <w:color w:val="auto"/>
                <w:sz w:val="28"/>
                <w:szCs w:val="28"/>
              </w:rPr>
              <w:t>专栏</w:t>
            </w:r>
            <w:r>
              <w:rPr>
                <w:rFonts w:hint="eastAsia" w:ascii="仿宋_GB2312" w:hAnsi="仿宋_GB2312" w:eastAsia="仿宋_GB2312" w:cs="仿宋_GB2312"/>
                <w:b/>
                <w:color w:val="auto"/>
                <w:sz w:val="28"/>
                <w:szCs w:val="28"/>
                <w:lang w:val="en-US" w:eastAsia="zh-CN"/>
              </w:rPr>
              <w:t>30</w:t>
            </w:r>
            <w:r>
              <w:rPr>
                <w:rFonts w:hint="eastAsia" w:ascii="仿宋_GB2312" w:hAnsi="仿宋_GB2312" w:eastAsia="仿宋_GB2312" w:cs="仿宋_GB2312"/>
                <w:b/>
                <w:color w:val="auto"/>
                <w:sz w:val="28"/>
                <w:szCs w:val="28"/>
              </w:rPr>
              <w:t xml:space="preserve"> 社会治安重点项目</w:t>
            </w:r>
          </w:p>
        </w:tc>
      </w:tr>
      <w:tr>
        <w:tblPrEx>
          <w:tblCellMar>
            <w:top w:w="0" w:type="dxa"/>
            <w:left w:w="108" w:type="dxa"/>
            <w:bottom w:w="0" w:type="dxa"/>
            <w:right w:w="108" w:type="dxa"/>
          </w:tblCellMar>
        </w:tblPrEx>
        <w:trPr>
          <w:trHeight w:val="4711" w:hRule="atLeast"/>
          <w:jc w:val="center"/>
        </w:trPr>
        <w:tc>
          <w:tcPr>
            <w:tcW w:w="8528" w:type="dxa"/>
            <w:tcBorders>
              <w:top w:val="single" w:color="000000" w:sz="2" w:space="0"/>
              <w:left w:val="single" w:color="000000" w:sz="2" w:space="0"/>
              <w:bottom w:val="single" w:color="000000" w:sz="2" w:space="0"/>
              <w:right w:val="single" w:color="000000" w:sz="2" w:space="0"/>
            </w:tcBorders>
            <w:shd w:val="clear" w:color="000000" w:fill="FFFFFF"/>
          </w:tcPr>
          <w:p>
            <w:pPr>
              <w:keepNext w:val="0"/>
              <w:keepLines w:val="0"/>
              <w:pageBreakBefore w:val="0"/>
              <w:widowControl w:val="0"/>
              <w:kinsoku/>
              <w:wordWrap/>
              <w:overflowPunct/>
              <w:topLinePunct w:val="0"/>
              <w:autoSpaceDE w:val="0"/>
              <w:autoSpaceDN w:val="0"/>
              <w:bidi w:val="0"/>
              <w:adjustRightInd w:val="0"/>
              <w:snapToGrid/>
              <w:spacing w:before="156" w:line="600" w:lineRule="exact"/>
              <w:ind w:firstLine="560" w:firstLineChars="200"/>
              <w:textAlignment w:val="auto"/>
              <w:outlineLvl w:val="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看守所异地搬迁项目</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公安局执法办案中心改造、智慧公安建设（绩安天网工程建设、社会视频资源整合平台建设、平安乡村项目建设、交通大脑建设项目、四网合一边界建设和平台建设）、社会治安防控体系建设（智慧公安检查站、防范个人极端案事件系统建设暨“前哨”防控圈、智慧街面巡防、公交智慧防控、智慧社区警务、重大活动安保社会面治安管控、智慧内保信息系统、娱乐服务场所和特</w:t>
            </w:r>
            <w:r>
              <w:rPr>
                <w:rFonts w:hint="eastAsia" w:ascii="仿宋_GB2312" w:hAnsi="仿宋_GB2312" w:eastAsia="仿宋_GB2312" w:cs="仿宋_GB2312"/>
                <w:color w:val="auto"/>
                <w:sz w:val="28"/>
                <w:szCs w:val="28"/>
                <w:lang w:val="en-US" w:eastAsia="zh-CN"/>
              </w:rPr>
              <w:t>种</w:t>
            </w:r>
            <w:r>
              <w:rPr>
                <w:rFonts w:hint="eastAsia" w:ascii="仿宋_GB2312" w:hAnsi="仿宋_GB2312" w:eastAsia="仿宋_GB2312" w:cs="仿宋_GB2312"/>
                <w:color w:val="auto"/>
                <w:sz w:val="28"/>
                <w:szCs w:val="28"/>
              </w:rPr>
              <w:t>行业智慧管控）、应急指挥体系建设项目</w:t>
            </w:r>
            <w:r>
              <w:rPr>
                <w:rFonts w:hint="eastAsia" w:ascii="仿宋_GB2312" w:hAnsi="仿宋_GB2312" w:eastAsia="仿宋_GB2312" w:cs="仿宋_GB2312"/>
                <w:color w:val="auto"/>
                <w:sz w:val="28"/>
                <w:szCs w:val="28"/>
                <w:lang w:eastAsia="zh-CN"/>
              </w:rPr>
              <w:t>、岭南应急救援中心建设项目</w:t>
            </w:r>
            <w:r>
              <w:rPr>
                <w:rFonts w:hint="eastAsia" w:ascii="仿宋_GB2312" w:hAnsi="仿宋_GB2312" w:eastAsia="仿宋_GB2312" w:cs="仿宋_GB2312"/>
                <w:color w:val="auto"/>
                <w:sz w:val="28"/>
                <w:szCs w:val="28"/>
              </w:rPr>
              <w:t>。</w:t>
            </w:r>
          </w:p>
        </w:tc>
      </w:tr>
    </w:tbl>
    <w:p>
      <w:pPr>
        <w:pStyle w:val="32"/>
        <w:keepNext w:val="0"/>
        <w:keepLines w:val="0"/>
        <w:pageBreakBefore w:val="0"/>
        <w:widowControl w:val="0"/>
        <w:tabs>
          <w:tab w:val="left" w:pos="1642"/>
          <w:tab w:val="left" w:pos="1643"/>
        </w:tabs>
        <w:kinsoku/>
        <w:wordWrap/>
        <w:overflowPunct/>
        <w:topLinePunct w:val="0"/>
        <w:autoSpaceDE/>
        <w:autoSpaceDN/>
        <w:bidi w:val="0"/>
        <w:adjustRightInd/>
        <w:snapToGrid/>
        <w:spacing w:line="240" w:lineRule="exact"/>
        <w:ind w:firstLine="640"/>
        <w:textAlignment w:val="auto"/>
        <w:outlineLvl w:val="1"/>
        <w:rPr>
          <w:rFonts w:ascii="仿宋_GB2312" w:hAnsi="仿宋_GB2312" w:eastAsia="仿宋_GB2312" w:cs="仿宋_GB2312"/>
          <w:color w:val="auto"/>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6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459" w:name="_Toc1710"/>
      <w:bookmarkStart w:id="460" w:name="_Toc7710"/>
      <w:bookmarkStart w:id="461" w:name="_Toc28455"/>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0" w:after="0" w:line="660" w:lineRule="exact"/>
        <w:jc w:val="center"/>
        <w:textAlignment w:val="auto"/>
        <w:outlineLvl w:val="1"/>
        <w:rPr>
          <w:rFonts w:hint="eastAsia" w:ascii="方正小标宋简体" w:hAnsi="方正小标宋简体" w:eastAsia="方正小标宋简体" w:cs="方正小标宋简体"/>
          <w:b w:val="0"/>
          <w:bCs w:val="0"/>
          <w:color w:val="auto"/>
          <w:sz w:val="36"/>
          <w:szCs w:val="36"/>
          <w:lang w:eastAsia="zh-CN"/>
        </w:rPr>
      </w:pPr>
      <w:bookmarkStart w:id="462" w:name="_Toc27565_WPSOffice_Level1"/>
      <w:r>
        <w:rPr>
          <w:rFonts w:hint="eastAsia" w:ascii="方正小标宋简体" w:hAnsi="方正小标宋简体" w:eastAsia="方正小标宋简体" w:cs="方正小标宋简体"/>
          <w:b w:val="0"/>
          <w:bCs w:val="0"/>
          <w:color w:val="auto"/>
          <w:sz w:val="36"/>
          <w:szCs w:val="36"/>
          <w:lang w:eastAsia="zh-CN"/>
        </w:rPr>
        <w:t xml:space="preserve">第十一章  </w:t>
      </w:r>
      <w:bookmarkStart w:id="463" w:name="_Toc48039858"/>
      <w:r>
        <w:rPr>
          <w:rFonts w:hint="eastAsia" w:ascii="方正小标宋简体" w:hAnsi="方正小标宋简体" w:eastAsia="方正小标宋简体" w:cs="方正小标宋简体"/>
          <w:b w:val="0"/>
          <w:bCs w:val="0"/>
          <w:color w:val="auto"/>
          <w:sz w:val="36"/>
          <w:szCs w:val="36"/>
          <w:lang w:eastAsia="zh-CN"/>
        </w:rPr>
        <w:t>加强规划组织实施</w:t>
      </w:r>
      <w:bookmarkEnd w:id="459"/>
      <w:bookmarkEnd w:id="460"/>
      <w:bookmarkEnd w:id="461"/>
      <w:bookmarkEnd w:id="462"/>
      <w:bookmarkEnd w:id="463"/>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1"/>
        <w:rPr>
          <w:rFonts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632" w:firstLineChars="200"/>
        <w:textAlignment w:val="auto"/>
        <w:outlineLvl w:val="1"/>
        <w:rPr>
          <w:rFonts w:ascii="仿宋_GB2312" w:hAnsi="仿宋_GB2312" w:eastAsia="仿宋_GB2312" w:cs="仿宋_GB2312"/>
          <w:color w:val="auto"/>
          <w:spacing w:val="-2"/>
          <w:sz w:val="32"/>
          <w:szCs w:val="32"/>
          <w:lang w:val="zh-CN"/>
        </w:rPr>
      </w:pPr>
      <w:r>
        <w:rPr>
          <w:rFonts w:hint="eastAsia" w:ascii="仿宋_GB2312" w:hAnsi="仿宋_GB2312" w:eastAsia="仿宋_GB2312" w:cs="仿宋_GB2312"/>
          <w:color w:val="auto"/>
          <w:spacing w:val="-2"/>
          <w:sz w:val="32"/>
          <w:szCs w:val="32"/>
          <w:lang w:val="zh-CN"/>
        </w:rPr>
        <w:t>实现“十四五”规划和</w:t>
      </w:r>
      <w:r>
        <w:rPr>
          <w:rFonts w:hint="eastAsia" w:ascii="仿宋_GB2312" w:hAnsi="仿宋_GB2312" w:eastAsia="仿宋_GB2312" w:cs="仿宋_GB2312"/>
          <w:color w:val="auto"/>
          <w:spacing w:val="-2"/>
          <w:sz w:val="32"/>
          <w:szCs w:val="32"/>
          <w:lang w:val="en-US" w:eastAsia="zh-CN"/>
        </w:rPr>
        <w:t>2035</w:t>
      </w:r>
      <w:r>
        <w:rPr>
          <w:rFonts w:hint="eastAsia" w:ascii="仿宋_GB2312" w:hAnsi="仿宋_GB2312" w:eastAsia="仿宋_GB2312" w:cs="仿宋_GB2312"/>
          <w:color w:val="auto"/>
          <w:spacing w:val="-2"/>
          <w:sz w:val="32"/>
          <w:szCs w:val="32"/>
          <w:lang w:val="zh-CN"/>
        </w:rPr>
        <w:t>年远景目标，必须坚持党的全面领导，充分调动一切积极因素，广泛团结一切可以团结的力量，形成推动建设新阶段现代化美好绩溪的强大合力。</w:t>
      </w:r>
    </w:p>
    <w:p>
      <w:pPr>
        <w:keepNext w:val="0"/>
        <w:keepLines w:val="0"/>
        <w:pageBreakBefore w:val="0"/>
        <w:widowControl w:val="0"/>
        <w:kinsoku/>
        <w:wordWrap/>
        <w:overflowPunct/>
        <w:topLinePunct w:val="0"/>
        <w:autoSpaceDE/>
        <w:autoSpaceDN/>
        <w:bidi w:val="0"/>
        <w:adjustRightInd/>
        <w:snapToGrid/>
        <w:spacing w:line="680" w:lineRule="exact"/>
        <w:ind w:firstLine="643" w:firstLineChars="200"/>
        <w:textAlignment w:val="auto"/>
        <w:outlineLvl w:val="1"/>
        <w:rPr>
          <w:rFonts w:ascii="仿宋_GB2312" w:hAnsi="仿宋_GB2312" w:eastAsia="仿宋_GB2312" w:cs="仿宋_GB2312"/>
          <w:color w:val="auto"/>
          <w:sz w:val="32"/>
          <w:szCs w:val="32"/>
        </w:rPr>
      </w:pPr>
      <w:bookmarkStart w:id="464" w:name="_Toc28962"/>
      <w:r>
        <w:rPr>
          <w:rFonts w:hint="eastAsia" w:ascii="楷体_GB2312" w:hAnsi="楷体_GB2312" w:eastAsia="楷体_GB2312" w:cs="楷体_GB2312"/>
          <w:b/>
          <w:bCs/>
          <w:color w:val="auto"/>
          <w:sz w:val="32"/>
          <w:szCs w:val="32"/>
        </w:rPr>
        <w:t>发挥党总揽全局、协调各方的领导核心作用。</w:t>
      </w:r>
      <w:r>
        <w:rPr>
          <w:rFonts w:hint="eastAsia" w:ascii="仿宋_GB2312" w:hAnsi="仿宋_GB2312" w:eastAsia="仿宋_GB2312" w:cs="仿宋_GB2312"/>
          <w:color w:val="auto"/>
          <w:sz w:val="32"/>
          <w:szCs w:val="32"/>
        </w:rPr>
        <w:t>全面加强党的领导和党的建设，把党领导经济社会发展的制度优势转化为治理效能。发挥好各级党委（党组）把方向、管大局、保落实的重要作用，不断提高贯彻新发展理念、构建新发展格局的能力和水平，为“十四五”规划实施提供坚强组织保障。</w:t>
      </w:r>
    </w:p>
    <w:p>
      <w:pPr>
        <w:pageBreakBefore w:val="0"/>
        <w:widowControl w:val="0"/>
        <w:kinsoku/>
        <w:wordWrap/>
        <w:overflowPunct/>
        <w:topLinePunct w:val="0"/>
        <w:autoSpaceDE/>
        <w:autoSpaceDN/>
        <w:bidi w:val="0"/>
        <w:adjustRightInd/>
        <w:snapToGrid/>
        <w:spacing w:line="660" w:lineRule="exact"/>
        <w:ind w:firstLine="643" w:firstLineChars="200"/>
        <w:textAlignment w:val="auto"/>
        <w:outlineLvl w:val="1"/>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推进社会主义政治建设。</w:t>
      </w:r>
      <w:r>
        <w:rPr>
          <w:rFonts w:hint="eastAsia" w:ascii="仿宋_GB2312" w:hAnsi="仿宋_GB2312" w:eastAsia="仿宋_GB2312" w:cs="仿宋_GB2312"/>
          <w:color w:val="auto"/>
          <w:sz w:val="32"/>
          <w:szCs w:val="32"/>
        </w:rPr>
        <w:t>坚持和完善人民代表大会制度，加强人大对“一府一委两院”监督。坚持和完善中国共产党领导的多党合作和政治协商制度，充分发挥民主党派、工商联和无党派人士作用，加强人民政协专门协商机构建设。完善大统战工作格局，健全同党外知识分子、非公有制经济人士、新的社会阶层人士的沟通联络机制，发挥工会、共青团、妇联等人民团体作用，把各自联系的群众紧紧凝聚在党的周围。</w:t>
      </w:r>
    </w:p>
    <w:p>
      <w:pPr>
        <w:pageBreakBefore w:val="0"/>
        <w:widowControl w:val="0"/>
        <w:kinsoku/>
        <w:wordWrap/>
        <w:overflowPunct/>
        <w:topLinePunct w:val="0"/>
        <w:autoSpaceDE/>
        <w:autoSpaceDN/>
        <w:bidi w:val="0"/>
        <w:adjustRightInd/>
        <w:snapToGrid/>
        <w:spacing w:line="660" w:lineRule="exact"/>
        <w:ind w:firstLine="643" w:firstLineChars="200"/>
        <w:textAlignment w:val="auto"/>
        <w:outlineLvl w:val="1"/>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sz w:val="32"/>
          <w:szCs w:val="32"/>
          <w:lang w:eastAsia="zh-CN"/>
        </w:rPr>
        <w:t>坚持和完善监督体系。</w:t>
      </w:r>
      <w:r>
        <w:rPr>
          <w:rFonts w:hint="eastAsia" w:ascii="仿宋_GB2312" w:hAnsi="仿宋_GB2312" w:eastAsia="仿宋_GB2312" w:cs="仿宋_GB2312"/>
          <w:sz w:val="32"/>
          <w:szCs w:val="32"/>
          <w:lang w:eastAsia="zh-CN"/>
        </w:rPr>
        <w:t>加强政治监督，使监督融入“十四五”规划建设之中，构建全覆盖的责任制度和监督体系。以党内监督为主导，健全人大监督、民主监督、行政监督、司法监督、群众监督、舆论监督制度，推动各类监督协调贯通，形成常态长效的监督合力。持续深化政治巡察，推动党内政治监督谈话规范化、常态化。强化</w:t>
      </w:r>
      <w:bookmarkStart w:id="465" w:name="_GoBack"/>
      <w:bookmarkEnd w:id="465"/>
      <w:r>
        <w:rPr>
          <w:rFonts w:hint="eastAsia" w:ascii="仿宋_GB2312" w:hAnsi="仿宋_GB2312" w:eastAsia="仿宋_GB2312" w:cs="仿宋_GB2312"/>
          <w:sz w:val="32"/>
          <w:szCs w:val="32"/>
          <w:lang w:eastAsia="zh-CN"/>
        </w:rPr>
        <w:t>对公权力运行的制约和监督。充分发挥监督在基层治理中的作用，推动全面从严治党向基层一线、向群众身边延伸，营造风清气正良好政治生态。</w:t>
      </w:r>
    </w:p>
    <w:p>
      <w:pPr>
        <w:pageBreakBefore w:val="0"/>
        <w:widowControl w:val="0"/>
        <w:kinsoku/>
        <w:wordWrap/>
        <w:overflowPunct/>
        <w:topLinePunct w:val="0"/>
        <w:autoSpaceDE/>
        <w:autoSpaceDN/>
        <w:bidi w:val="0"/>
        <w:adjustRightInd/>
        <w:snapToGrid/>
        <w:spacing w:line="660" w:lineRule="exact"/>
        <w:ind w:firstLine="643" w:firstLineChars="200"/>
        <w:textAlignment w:val="auto"/>
        <w:outlineLvl w:val="1"/>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建立健全规划实施机制。</w:t>
      </w:r>
      <w:r>
        <w:rPr>
          <w:rFonts w:hint="eastAsia" w:ascii="仿宋_GB2312" w:hAnsi="仿宋_GB2312" w:eastAsia="仿宋_GB2312" w:cs="仿宋_GB2312"/>
          <w:color w:val="auto"/>
          <w:sz w:val="32"/>
          <w:szCs w:val="32"/>
        </w:rPr>
        <w:t>加强规划要素保障，研究制定产业、财政、金融、投资、环保等相关配套政策，着力发挥政策协同效应，有效保障规划落地。制定和实施重大项目投资计划时，优先考虑发展规划确定的重点项目。进一步建立健全发展规划实施机制，确保各项目标任务顺利实现。</w:t>
      </w:r>
      <w:r>
        <w:rPr>
          <w:rFonts w:hint="eastAsia" w:ascii="仿宋_GB2312" w:hAnsi="仿宋_GB2312" w:eastAsia="仿宋_GB2312" w:cs="仿宋_GB2312"/>
          <w:color w:val="auto"/>
          <w:spacing w:val="-2"/>
          <w:sz w:val="32"/>
          <w:szCs w:val="32"/>
          <w:lang w:val="zh-CN"/>
        </w:rPr>
        <w:t>加强规划实施过程的舆论宣传。</w:t>
      </w:r>
      <w:r>
        <w:rPr>
          <w:rFonts w:hint="eastAsia" w:ascii="仿宋_GB2312" w:hAnsi="仿宋_GB2312" w:eastAsia="仿宋_GB2312" w:cs="仿宋_GB2312"/>
          <w:color w:val="auto"/>
          <w:sz w:val="32"/>
          <w:szCs w:val="32"/>
        </w:rPr>
        <w:t>完善规划年度监测、中期评估和总结评估机制，提高规划实施监测分析的及时性、全面性和准确性。</w:t>
      </w:r>
    </w:p>
    <w:p>
      <w:pPr>
        <w:pageBreakBefore w:val="0"/>
        <w:widowControl w:val="0"/>
        <w:kinsoku/>
        <w:wordWrap/>
        <w:overflowPunct/>
        <w:topLinePunct w:val="0"/>
        <w:autoSpaceDE/>
        <w:autoSpaceDN/>
        <w:bidi w:val="0"/>
        <w:adjustRightInd/>
        <w:snapToGrid/>
        <w:spacing w:line="660" w:lineRule="exact"/>
        <w:ind w:firstLine="640" w:firstLineChars="200"/>
        <w:textAlignment w:val="auto"/>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实现“十四五”规划和</w:t>
      </w:r>
      <w:r>
        <w:rPr>
          <w:rFonts w:hint="eastAsia" w:ascii="仿宋_GB2312" w:hAnsi="仿宋_GB2312" w:eastAsia="仿宋_GB2312" w:cs="仿宋_GB2312"/>
          <w:color w:val="auto"/>
          <w:sz w:val="32"/>
          <w:szCs w:val="32"/>
          <w:lang w:val="en-US" w:eastAsia="zh-CN"/>
        </w:rPr>
        <w:t>2035年</w:t>
      </w:r>
      <w:r>
        <w:rPr>
          <w:rFonts w:hint="eastAsia" w:ascii="仿宋_GB2312" w:hAnsi="仿宋_GB2312" w:eastAsia="仿宋_GB2312" w:cs="仿宋_GB2312"/>
          <w:color w:val="auto"/>
          <w:sz w:val="32"/>
          <w:szCs w:val="32"/>
        </w:rPr>
        <w:t>远景目标，任务繁重，前景光明。全县上下要紧密团结在以习近平同志为核心的党中央周围，坚定信心、迎难而上，抢抓机遇、奋发作为，加快建设“两区一地”，奋力夺取</w:t>
      </w:r>
      <w:r>
        <w:rPr>
          <w:rFonts w:hint="eastAsia" w:ascii="仿宋_GB2312" w:hAnsi="仿宋_GB2312" w:eastAsia="仿宋_GB2312" w:cs="仿宋_GB2312"/>
          <w:color w:val="auto"/>
          <w:sz w:val="32"/>
          <w:szCs w:val="32"/>
          <w:lang w:eastAsia="zh-CN"/>
        </w:rPr>
        <w:t>新时代</w:t>
      </w:r>
      <w:r>
        <w:rPr>
          <w:rFonts w:hint="eastAsia" w:ascii="仿宋_GB2312" w:hAnsi="仿宋_GB2312" w:eastAsia="仿宋_GB2312" w:cs="仿宋_GB2312"/>
          <w:color w:val="auto"/>
          <w:sz w:val="32"/>
          <w:szCs w:val="32"/>
        </w:rPr>
        <w:t>美丽幸福绩溪建设新胜利！</w:t>
      </w:r>
    </w:p>
    <w:bookmarkEnd w:id="464"/>
    <w:p>
      <w:pPr>
        <w:pStyle w:val="4"/>
        <w:pageBreakBefore w:val="0"/>
        <w:widowControl w:val="0"/>
        <w:kinsoku/>
        <w:wordWrap/>
        <w:overflowPunct/>
        <w:topLinePunct w:val="0"/>
        <w:autoSpaceDE/>
        <w:autoSpaceDN/>
        <w:bidi w:val="0"/>
        <w:adjustRightInd/>
        <w:snapToGrid/>
        <w:spacing w:before="0" w:after="0" w:line="660" w:lineRule="exact"/>
        <w:jc w:val="center"/>
        <w:textAlignment w:val="auto"/>
        <w:outlineLvl w:val="1"/>
        <w:rPr>
          <w:rFonts w:ascii="仿宋_GB2312" w:hAnsi="楷体" w:eastAsia="仿宋_GB2312"/>
          <w:color w:val="auto"/>
          <w:szCs w:val="30"/>
          <w:lang w:val="zh-CN"/>
        </w:rPr>
      </w:pPr>
    </w:p>
    <w:sectPr>
      <w:footerReference r:id="rId4" w:type="default"/>
      <w:pgSz w:w="11905" w:h="16838"/>
      <w:pgMar w:top="1531" w:right="1417" w:bottom="1531" w:left="1701" w:header="851" w:footer="992" w:gutter="283"/>
      <w:pgNumType w:fmt="numberInDash" w:start="1"/>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auto"/>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28703651"/>
                          </w:sdtPr>
                          <w:sdtEndPr>
                            <w:rPr>
                              <w:sz w:val="21"/>
                              <w:szCs w:val="21"/>
                            </w:rPr>
                          </w:sdtEndPr>
                          <w:sdtContent>
                            <w:p>
                              <w:pPr>
                                <w:pStyle w:val="9"/>
                                <w:jc w:val="center"/>
                                <w:rPr>
                                  <w:sz w:val="21"/>
                                  <w:szCs w:val="21"/>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PAGE   \* MERGEFORMAT</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13</w:t>
                              </w:r>
                              <w:r>
                                <w:rPr>
                                  <w:rFonts w:hint="eastAsia" w:ascii="仿宋_GB2312" w:hAnsi="仿宋_GB2312" w:eastAsia="仿宋_GB2312" w:cs="仿宋_GB2312"/>
                                  <w:sz w:val="30"/>
                                  <w:szCs w:val="30"/>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sdt>
                    <w:sdtPr>
                      <w:id w:val="-1128703651"/>
                    </w:sdtPr>
                    <w:sdtEndPr>
                      <w:rPr>
                        <w:sz w:val="21"/>
                        <w:szCs w:val="21"/>
                      </w:rPr>
                    </w:sdtEndPr>
                    <w:sdtContent>
                      <w:p>
                        <w:pPr>
                          <w:pStyle w:val="9"/>
                          <w:jc w:val="center"/>
                          <w:rPr>
                            <w:sz w:val="21"/>
                            <w:szCs w:val="21"/>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PAGE   \* MERGEFORMAT</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lang w:val="zh-CN"/>
                          </w:rPr>
                          <w:t>13</w:t>
                        </w:r>
                        <w:r>
                          <w:rPr>
                            <w:rFonts w:hint="eastAsia" w:ascii="仿宋_GB2312" w:hAnsi="仿宋_GB2312" w:eastAsia="仿宋_GB2312" w:cs="仿宋_GB2312"/>
                            <w:sz w:val="30"/>
                            <w:szCs w:val="30"/>
                            <w:lang w:val="zh-CN"/>
                          </w:rPr>
                          <w:fldChar w:fldCharType="end"/>
                        </w:r>
                      </w:p>
                    </w:sdtContent>
                  </w:sd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57"/>
    <w:rsid w:val="0000096B"/>
    <w:rsid w:val="00003AF9"/>
    <w:rsid w:val="00003C53"/>
    <w:rsid w:val="000069E0"/>
    <w:rsid w:val="00006AAC"/>
    <w:rsid w:val="000107A9"/>
    <w:rsid w:val="00010802"/>
    <w:rsid w:val="0001105F"/>
    <w:rsid w:val="000111B2"/>
    <w:rsid w:val="0001147D"/>
    <w:rsid w:val="000114BA"/>
    <w:rsid w:val="000116ED"/>
    <w:rsid w:val="00012239"/>
    <w:rsid w:val="00012298"/>
    <w:rsid w:val="00012DA4"/>
    <w:rsid w:val="00014B7E"/>
    <w:rsid w:val="00014C81"/>
    <w:rsid w:val="00015419"/>
    <w:rsid w:val="00015ADB"/>
    <w:rsid w:val="000168D8"/>
    <w:rsid w:val="0001770A"/>
    <w:rsid w:val="000204C6"/>
    <w:rsid w:val="000239DF"/>
    <w:rsid w:val="000240DB"/>
    <w:rsid w:val="0002482C"/>
    <w:rsid w:val="00025670"/>
    <w:rsid w:val="0002569B"/>
    <w:rsid w:val="0002631C"/>
    <w:rsid w:val="00027CB9"/>
    <w:rsid w:val="00031C24"/>
    <w:rsid w:val="000326A6"/>
    <w:rsid w:val="00034529"/>
    <w:rsid w:val="00034CA0"/>
    <w:rsid w:val="00035517"/>
    <w:rsid w:val="00037DFF"/>
    <w:rsid w:val="00040608"/>
    <w:rsid w:val="0004161F"/>
    <w:rsid w:val="00041669"/>
    <w:rsid w:val="00041763"/>
    <w:rsid w:val="00041B40"/>
    <w:rsid w:val="00043BAE"/>
    <w:rsid w:val="00043D5D"/>
    <w:rsid w:val="0004402D"/>
    <w:rsid w:val="000464B4"/>
    <w:rsid w:val="00047733"/>
    <w:rsid w:val="0005151C"/>
    <w:rsid w:val="00051554"/>
    <w:rsid w:val="00053055"/>
    <w:rsid w:val="00054607"/>
    <w:rsid w:val="00057679"/>
    <w:rsid w:val="000615E5"/>
    <w:rsid w:val="00061855"/>
    <w:rsid w:val="00061F9A"/>
    <w:rsid w:val="000645AF"/>
    <w:rsid w:val="00066942"/>
    <w:rsid w:val="00067EE0"/>
    <w:rsid w:val="000712CE"/>
    <w:rsid w:val="00072248"/>
    <w:rsid w:val="000757EC"/>
    <w:rsid w:val="00075E0A"/>
    <w:rsid w:val="00075E24"/>
    <w:rsid w:val="00080525"/>
    <w:rsid w:val="00080CE0"/>
    <w:rsid w:val="00081DF1"/>
    <w:rsid w:val="00081EA8"/>
    <w:rsid w:val="00081F6B"/>
    <w:rsid w:val="00082685"/>
    <w:rsid w:val="000848F4"/>
    <w:rsid w:val="00084BC0"/>
    <w:rsid w:val="00086918"/>
    <w:rsid w:val="000909EC"/>
    <w:rsid w:val="0009160F"/>
    <w:rsid w:val="000926FD"/>
    <w:rsid w:val="0009439D"/>
    <w:rsid w:val="00094D42"/>
    <w:rsid w:val="00095DD0"/>
    <w:rsid w:val="000A2328"/>
    <w:rsid w:val="000A4D1F"/>
    <w:rsid w:val="000A69EF"/>
    <w:rsid w:val="000A7177"/>
    <w:rsid w:val="000A79D3"/>
    <w:rsid w:val="000B02B4"/>
    <w:rsid w:val="000B1597"/>
    <w:rsid w:val="000B15ED"/>
    <w:rsid w:val="000B18DF"/>
    <w:rsid w:val="000B2E64"/>
    <w:rsid w:val="000B3C46"/>
    <w:rsid w:val="000B3C8C"/>
    <w:rsid w:val="000B4401"/>
    <w:rsid w:val="000B4A5C"/>
    <w:rsid w:val="000B5BA8"/>
    <w:rsid w:val="000B6B23"/>
    <w:rsid w:val="000B7B5A"/>
    <w:rsid w:val="000C0498"/>
    <w:rsid w:val="000C112A"/>
    <w:rsid w:val="000C1761"/>
    <w:rsid w:val="000C5741"/>
    <w:rsid w:val="000C778E"/>
    <w:rsid w:val="000C7C3D"/>
    <w:rsid w:val="000D0576"/>
    <w:rsid w:val="000D07DE"/>
    <w:rsid w:val="000D0B6D"/>
    <w:rsid w:val="000D260E"/>
    <w:rsid w:val="000D2D29"/>
    <w:rsid w:val="000D3017"/>
    <w:rsid w:val="000D378F"/>
    <w:rsid w:val="000D3A26"/>
    <w:rsid w:val="000D5269"/>
    <w:rsid w:val="000D6EE4"/>
    <w:rsid w:val="000D7AC4"/>
    <w:rsid w:val="000E0932"/>
    <w:rsid w:val="000E1096"/>
    <w:rsid w:val="000E360A"/>
    <w:rsid w:val="000E3797"/>
    <w:rsid w:val="000E3A27"/>
    <w:rsid w:val="000E4D56"/>
    <w:rsid w:val="000E5242"/>
    <w:rsid w:val="000E554A"/>
    <w:rsid w:val="000E6518"/>
    <w:rsid w:val="000E760E"/>
    <w:rsid w:val="000E7CD0"/>
    <w:rsid w:val="000F07F3"/>
    <w:rsid w:val="000F0EDE"/>
    <w:rsid w:val="000F1A68"/>
    <w:rsid w:val="000F28D8"/>
    <w:rsid w:val="000F3D92"/>
    <w:rsid w:val="000F54D9"/>
    <w:rsid w:val="000F5515"/>
    <w:rsid w:val="000F5BB7"/>
    <w:rsid w:val="000F61EF"/>
    <w:rsid w:val="000F6D43"/>
    <w:rsid w:val="000F6FEF"/>
    <w:rsid w:val="0010006F"/>
    <w:rsid w:val="00100188"/>
    <w:rsid w:val="001007A5"/>
    <w:rsid w:val="00101043"/>
    <w:rsid w:val="00101281"/>
    <w:rsid w:val="00101338"/>
    <w:rsid w:val="00102709"/>
    <w:rsid w:val="00102B70"/>
    <w:rsid w:val="00105045"/>
    <w:rsid w:val="00106616"/>
    <w:rsid w:val="00106824"/>
    <w:rsid w:val="0010784F"/>
    <w:rsid w:val="001113D7"/>
    <w:rsid w:val="00111685"/>
    <w:rsid w:val="0011233D"/>
    <w:rsid w:val="00113D0C"/>
    <w:rsid w:val="00113F6A"/>
    <w:rsid w:val="0011776D"/>
    <w:rsid w:val="001202A0"/>
    <w:rsid w:val="001214F7"/>
    <w:rsid w:val="00122335"/>
    <w:rsid w:val="001232C1"/>
    <w:rsid w:val="00126724"/>
    <w:rsid w:val="00127039"/>
    <w:rsid w:val="00127612"/>
    <w:rsid w:val="00127B70"/>
    <w:rsid w:val="00130631"/>
    <w:rsid w:val="00131BEF"/>
    <w:rsid w:val="001327FE"/>
    <w:rsid w:val="00132BA6"/>
    <w:rsid w:val="0013339E"/>
    <w:rsid w:val="0013348E"/>
    <w:rsid w:val="00133852"/>
    <w:rsid w:val="00134141"/>
    <w:rsid w:val="00134B98"/>
    <w:rsid w:val="001358E5"/>
    <w:rsid w:val="00135A44"/>
    <w:rsid w:val="00137107"/>
    <w:rsid w:val="0013746F"/>
    <w:rsid w:val="0014056C"/>
    <w:rsid w:val="00144004"/>
    <w:rsid w:val="00144AA1"/>
    <w:rsid w:val="0014553E"/>
    <w:rsid w:val="001465BF"/>
    <w:rsid w:val="001468B6"/>
    <w:rsid w:val="00146BA9"/>
    <w:rsid w:val="00147354"/>
    <w:rsid w:val="001479C7"/>
    <w:rsid w:val="00147D55"/>
    <w:rsid w:val="00150554"/>
    <w:rsid w:val="00151C95"/>
    <w:rsid w:val="001561DF"/>
    <w:rsid w:val="00156477"/>
    <w:rsid w:val="00156680"/>
    <w:rsid w:val="0016050F"/>
    <w:rsid w:val="00161C7A"/>
    <w:rsid w:val="00162759"/>
    <w:rsid w:val="00165CE2"/>
    <w:rsid w:val="001673A8"/>
    <w:rsid w:val="00170907"/>
    <w:rsid w:val="00170F13"/>
    <w:rsid w:val="00172D9C"/>
    <w:rsid w:val="001738AD"/>
    <w:rsid w:val="00175023"/>
    <w:rsid w:val="00175273"/>
    <w:rsid w:val="0017685F"/>
    <w:rsid w:val="00176D21"/>
    <w:rsid w:val="00177A60"/>
    <w:rsid w:val="0018025C"/>
    <w:rsid w:val="00181A38"/>
    <w:rsid w:val="00182628"/>
    <w:rsid w:val="001826BC"/>
    <w:rsid w:val="00182BF9"/>
    <w:rsid w:val="001831E6"/>
    <w:rsid w:val="00184C4E"/>
    <w:rsid w:val="00185C3B"/>
    <w:rsid w:val="001900C1"/>
    <w:rsid w:val="00191153"/>
    <w:rsid w:val="00191735"/>
    <w:rsid w:val="00192317"/>
    <w:rsid w:val="0019458B"/>
    <w:rsid w:val="00194734"/>
    <w:rsid w:val="0019615B"/>
    <w:rsid w:val="00197A40"/>
    <w:rsid w:val="001A0867"/>
    <w:rsid w:val="001A0B5A"/>
    <w:rsid w:val="001A14DE"/>
    <w:rsid w:val="001A3191"/>
    <w:rsid w:val="001A3A2F"/>
    <w:rsid w:val="001A3D9F"/>
    <w:rsid w:val="001A64F7"/>
    <w:rsid w:val="001A7BC5"/>
    <w:rsid w:val="001B04CB"/>
    <w:rsid w:val="001B0571"/>
    <w:rsid w:val="001B0603"/>
    <w:rsid w:val="001B2742"/>
    <w:rsid w:val="001B2ABF"/>
    <w:rsid w:val="001B2BD6"/>
    <w:rsid w:val="001B350E"/>
    <w:rsid w:val="001B3CF9"/>
    <w:rsid w:val="001C0D99"/>
    <w:rsid w:val="001C2719"/>
    <w:rsid w:val="001C4F15"/>
    <w:rsid w:val="001C681C"/>
    <w:rsid w:val="001C7779"/>
    <w:rsid w:val="001C78AF"/>
    <w:rsid w:val="001D070C"/>
    <w:rsid w:val="001D1C1D"/>
    <w:rsid w:val="001D21AA"/>
    <w:rsid w:val="001D27CE"/>
    <w:rsid w:val="001D5823"/>
    <w:rsid w:val="001D5AB9"/>
    <w:rsid w:val="001D622B"/>
    <w:rsid w:val="001E0D56"/>
    <w:rsid w:val="001E12FB"/>
    <w:rsid w:val="001E238B"/>
    <w:rsid w:val="001E36CB"/>
    <w:rsid w:val="001E3FED"/>
    <w:rsid w:val="001E57C9"/>
    <w:rsid w:val="001E5D2A"/>
    <w:rsid w:val="001E5DD4"/>
    <w:rsid w:val="001E625B"/>
    <w:rsid w:val="001E64D5"/>
    <w:rsid w:val="001E6612"/>
    <w:rsid w:val="001F08F0"/>
    <w:rsid w:val="001F1AE7"/>
    <w:rsid w:val="001F1EF2"/>
    <w:rsid w:val="001F3F54"/>
    <w:rsid w:val="001F5006"/>
    <w:rsid w:val="001F706C"/>
    <w:rsid w:val="002003B6"/>
    <w:rsid w:val="00201F24"/>
    <w:rsid w:val="002039DD"/>
    <w:rsid w:val="00203A26"/>
    <w:rsid w:val="00203B80"/>
    <w:rsid w:val="002048D1"/>
    <w:rsid w:val="00204C7D"/>
    <w:rsid w:val="002118E7"/>
    <w:rsid w:val="00211906"/>
    <w:rsid w:val="00212317"/>
    <w:rsid w:val="00212593"/>
    <w:rsid w:val="00215F16"/>
    <w:rsid w:val="0021603E"/>
    <w:rsid w:val="002165EC"/>
    <w:rsid w:val="002167E2"/>
    <w:rsid w:val="00216F13"/>
    <w:rsid w:val="002170EA"/>
    <w:rsid w:val="00217CD7"/>
    <w:rsid w:val="00222856"/>
    <w:rsid w:val="00223467"/>
    <w:rsid w:val="00225BF8"/>
    <w:rsid w:val="00230718"/>
    <w:rsid w:val="002318DD"/>
    <w:rsid w:val="00231EDB"/>
    <w:rsid w:val="00232089"/>
    <w:rsid w:val="0023285A"/>
    <w:rsid w:val="00233D07"/>
    <w:rsid w:val="002343E4"/>
    <w:rsid w:val="00234731"/>
    <w:rsid w:val="002359E9"/>
    <w:rsid w:val="00237434"/>
    <w:rsid w:val="002401EA"/>
    <w:rsid w:val="002405E3"/>
    <w:rsid w:val="00241C73"/>
    <w:rsid w:val="002423A1"/>
    <w:rsid w:val="00243962"/>
    <w:rsid w:val="0024418C"/>
    <w:rsid w:val="00244D00"/>
    <w:rsid w:val="00245E6F"/>
    <w:rsid w:val="00247007"/>
    <w:rsid w:val="00252FE6"/>
    <w:rsid w:val="00253687"/>
    <w:rsid w:val="00253B32"/>
    <w:rsid w:val="0025437B"/>
    <w:rsid w:val="00257042"/>
    <w:rsid w:val="00260B93"/>
    <w:rsid w:val="0026121D"/>
    <w:rsid w:val="00262475"/>
    <w:rsid w:val="00262562"/>
    <w:rsid w:val="0026269D"/>
    <w:rsid w:val="00262C4E"/>
    <w:rsid w:val="00262C6A"/>
    <w:rsid w:val="0026302C"/>
    <w:rsid w:val="002641A8"/>
    <w:rsid w:val="00265026"/>
    <w:rsid w:val="002664D9"/>
    <w:rsid w:val="00271587"/>
    <w:rsid w:val="00274CD3"/>
    <w:rsid w:val="00274CED"/>
    <w:rsid w:val="00276DDD"/>
    <w:rsid w:val="0027756D"/>
    <w:rsid w:val="00280834"/>
    <w:rsid w:val="00281C8A"/>
    <w:rsid w:val="00283BA9"/>
    <w:rsid w:val="00283C37"/>
    <w:rsid w:val="00284AFF"/>
    <w:rsid w:val="00284BAB"/>
    <w:rsid w:val="002855BF"/>
    <w:rsid w:val="00285F2B"/>
    <w:rsid w:val="002872E2"/>
    <w:rsid w:val="00287C09"/>
    <w:rsid w:val="00287C43"/>
    <w:rsid w:val="00292DB4"/>
    <w:rsid w:val="002952ED"/>
    <w:rsid w:val="002970BC"/>
    <w:rsid w:val="002A1B7C"/>
    <w:rsid w:val="002A23BC"/>
    <w:rsid w:val="002A4024"/>
    <w:rsid w:val="002A4058"/>
    <w:rsid w:val="002A4701"/>
    <w:rsid w:val="002A6323"/>
    <w:rsid w:val="002A6EC2"/>
    <w:rsid w:val="002B1FAF"/>
    <w:rsid w:val="002B268B"/>
    <w:rsid w:val="002B2A0D"/>
    <w:rsid w:val="002B5EF5"/>
    <w:rsid w:val="002B79D7"/>
    <w:rsid w:val="002C035E"/>
    <w:rsid w:val="002C111E"/>
    <w:rsid w:val="002C11DF"/>
    <w:rsid w:val="002C1EE0"/>
    <w:rsid w:val="002C2E40"/>
    <w:rsid w:val="002C363C"/>
    <w:rsid w:val="002C4A32"/>
    <w:rsid w:val="002C577F"/>
    <w:rsid w:val="002C6075"/>
    <w:rsid w:val="002C69A8"/>
    <w:rsid w:val="002C7379"/>
    <w:rsid w:val="002C74A3"/>
    <w:rsid w:val="002D1317"/>
    <w:rsid w:val="002D23F8"/>
    <w:rsid w:val="002D30F7"/>
    <w:rsid w:val="002D5BB0"/>
    <w:rsid w:val="002D604D"/>
    <w:rsid w:val="002D6224"/>
    <w:rsid w:val="002D668D"/>
    <w:rsid w:val="002D6BDE"/>
    <w:rsid w:val="002D74DA"/>
    <w:rsid w:val="002E0114"/>
    <w:rsid w:val="002E0E50"/>
    <w:rsid w:val="002E25B2"/>
    <w:rsid w:val="002E45F7"/>
    <w:rsid w:val="002E6FD3"/>
    <w:rsid w:val="002F0AFD"/>
    <w:rsid w:val="002F338A"/>
    <w:rsid w:val="002F4FAE"/>
    <w:rsid w:val="002F5E26"/>
    <w:rsid w:val="002F79A6"/>
    <w:rsid w:val="00300754"/>
    <w:rsid w:val="003025B6"/>
    <w:rsid w:val="0030389C"/>
    <w:rsid w:val="003039E7"/>
    <w:rsid w:val="00304154"/>
    <w:rsid w:val="00305BD3"/>
    <w:rsid w:val="00306252"/>
    <w:rsid w:val="0030685B"/>
    <w:rsid w:val="00307016"/>
    <w:rsid w:val="00307F2F"/>
    <w:rsid w:val="0031044A"/>
    <w:rsid w:val="00310506"/>
    <w:rsid w:val="003129D9"/>
    <w:rsid w:val="00312BC6"/>
    <w:rsid w:val="00312C64"/>
    <w:rsid w:val="003130E7"/>
    <w:rsid w:val="00314BBE"/>
    <w:rsid w:val="00314EC7"/>
    <w:rsid w:val="0031527D"/>
    <w:rsid w:val="00316124"/>
    <w:rsid w:val="003163A0"/>
    <w:rsid w:val="0031744B"/>
    <w:rsid w:val="00320AC1"/>
    <w:rsid w:val="00321218"/>
    <w:rsid w:val="00321475"/>
    <w:rsid w:val="0032290E"/>
    <w:rsid w:val="00324575"/>
    <w:rsid w:val="003257C2"/>
    <w:rsid w:val="0032657A"/>
    <w:rsid w:val="003273E8"/>
    <w:rsid w:val="00327940"/>
    <w:rsid w:val="003302B5"/>
    <w:rsid w:val="00331574"/>
    <w:rsid w:val="003321EA"/>
    <w:rsid w:val="003325A8"/>
    <w:rsid w:val="00332B55"/>
    <w:rsid w:val="00332F3F"/>
    <w:rsid w:val="003331FF"/>
    <w:rsid w:val="0033392E"/>
    <w:rsid w:val="003353F1"/>
    <w:rsid w:val="00340529"/>
    <w:rsid w:val="00340F45"/>
    <w:rsid w:val="00343BA2"/>
    <w:rsid w:val="003452E9"/>
    <w:rsid w:val="00346360"/>
    <w:rsid w:val="00346752"/>
    <w:rsid w:val="00347350"/>
    <w:rsid w:val="003507EF"/>
    <w:rsid w:val="003511DC"/>
    <w:rsid w:val="003531E1"/>
    <w:rsid w:val="00353924"/>
    <w:rsid w:val="0035673E"/>
    <w:rsid w:val="003604B2"/>
    <w:rsid w:val="0036280C"/>
    <w:rsid w:val="0036402F"/>
    <w:rsid w:val="003675E9"/>
    <w:rsid w:val="00367A72"/>
    <w:rsid w:val="003707DE"/>
    <w:rsid w:val="00371F10"/>
    <w:rsid w:val="0037274E"/>
    <w:rsid w:val="0037411A"/>
    <w:rsid w:val="003744C9"/>
    <w:rsid w:val="00375C72"/>
    <w:rsid w:val="00376253"/>
    <w:rsid w:val="003762C9"/>
    <w:rsid w:val="003769DD"/>
    <w:rsid w:val="00380811"/>
    <w:rsid w:val="00380EE3"/>
    <w:rsid w:val="003816C2"/>
    <w:rsid w:val="00381CF3"/>
    <w:rsid w:val="0038260E"/>
    <w:rsid w:val="00382CE5"/>
    <w:rsid w:val="003836FC"/>
    <w:rsid w:val="00383BA5"/>
    <w:rsid w:val="0038458B"/>
    <w:rsid w:val="0038496F"/>
    <w:rsid w:val="00385F2C"/>
    <w:rsid w:val="003900A5"/>
    <w:rsid w:val="00390DD4"/>
    <w:rsid w:val="00391406"/>
    <w:rsid w:val="003928E5"/>
    <w:rsid w:val="00392BA6"/>
    <w:rsid w:val="00393971"/>
    <w:rsid w:val="00393E38"/>
    <w:rsid w:val="00397568"/>
    <w:rsid w:val="003A073C"/>
    <w:rsid w:val="003A1ADC"/>
    <w:rsid w:val="003A1F7D"/>
    <w:rsid w:val="003A2E16"/>
    <w:rsid w:val="003A430C"/>
    <w:rsid w:val="003A4AAB"/>
    <w:rsid w:val="003A6D49"/>
    <w:rsid w:val="003A7487"/>
    <w:rsid w:val="003B05DA"/>
    <w:rsid w:val="003B081F"/>
    <w:rsid w:val="003B0C3D"/>
    <w:rsid w:val="003B0EB9"/>
    <w:rsid w:val="003B37BB"/>
    <w:rsid w:val="003B4356"/>
    <w:rsid w:val="003B49AF"/>
    <w:rsid w:val="003B4F8B"/>
    <w:rsid w:val="003B545C"/>
    <w:rsid w:val="003B5DA0"/>
    <w:rsid w:val="003B62E4"/>
    <w:rsid w:val="003B7042"/>
    <w:rsid w:val="003B7BC9"/>
    <w:rsid w:val="003C0429"/>
    <w:rsid w:val="003C09B6"/>
    <w:rsid w:val="003C1D2F"/>
    <w:rsid w:val="003C27A7"/>
    <w:rsid w:val="003C6ACF"/>
    <w:rsid w:val="003C6B23"/>
    <w:rsid w:val="003C6E72"/>
    <w:rsid w:val="003C7359"/>
    <w:rsid w:val="003C75B3"/>
    <w:rsid w:val="003D0858"/>
    <w:rsid w:val="003D0F53"/>
    <w:rsid w:val="003D2B05"/>
    <w:rsid w:val="003D66D0"/>
    <w:rsid w:val="003D756F"/>
    <w:rsid w:val="003E0CB4"/>
    <w:rsid w:val="003E1C0B"/>
    <w:rsid w:val="003E2778"/>
    <w:rsid w:val="003E2EBE"/>
    <w:rsid w:val="003E32EA"/>
    <w:rsid w:val="003E3C52"/>
    <w:rsid w:val="003E52C5"/>
    <w:rsid w:val="003E535E"/>
    <w:rsid w:val="003E545B"/>
    <w:rsid w:val="003E54B5"/>
    <w:rsid w:val="003E6B8E"/>
    <w:rsid w:val="003F05FF"/>
    <w:rsid w:val="003F250C"/>
    <w:rsid w:val="003F264A"/>
    <w:rsid w:val="003F48CF"/>
    <w:rsid w:val="003F5639"/>
    <w:rsid w:val="00400B13"/>
    <w:rsid w:val="004028B3"/>
    <w:rsid w:val="00403182"/>
    <w:rsid w:val="004033E1"/>
    <w:rsid w:val="00403478"/>
    <w:rsid w:val="00404680"/>
    <w:rsid w:val="0041184C"/>
    <w:rsid w:val="00411B5E"/>
    <w:rsid w:val="00414981"/>
    <w:rsid w:val="0041663F"/>
    <w:rsid w:val="00416D52"/>
    <w:rsid w:val="00417203"/>
    <w:rsid w:val="0041738C"/>
    <w:rsid w:val="004202F8"/>
    <w:rsid w:val="00422003"/>
    <w:rsid w:val="004224C7"/>
    <w:rsid w:val="004255E1"/>
    <w:rsid w:val="0042603E"/>
    <w:rsid w:val="00426A53"/>
    <w:rsid w:val="00427CEC"/>
    <w:rsid w:val="00427F68"/>
    <w:rsid w:val="00430539"/>
    <w:rsid w:val="00432593"/>
    <w:rsid w:val="0043281A"/>
    <w:rsid w:val="00433F63"/>
    <w:rsid w:val="00434918"/>
    <w:rsid w:val="00435A39"/>
    <w:rsid w:val="00436266"/>
    <w:rsid w:val="0043654E"/>
    <w:rsid w:val="00437005"/>
    <w:rsid w:val="00440BE5"/>
    <w:rsid w:val="004412B7"/>
    <w:rsid w:val="00441365"/>
    <w:rsid w:val="00441663"/>
    <w:rsid w:val="00441FE7"/>
    <w:rsid w:val="00445923"/>
    <w:rsid w:val="00451715"/>
    <w:rsid w:val="00452F8B"/>
    <w:rsid w:val="00454F91"/>
    <w:rsid w:val="00454FC6"/>
    <w:rsid w:val="00455BD3"/>
    <w:rsid w:val="00455C7E"/>
    <w:rsid w:val="004612B1"/>
    <w:rsid w:val="00461FAE"/>
    <w:rsid w:val="00464720"/>
    <w:rsid w:val="0046543F"/>
    <w:rsid w:val="00466E11"/>
    <w:rsid w:val="00470D3F"/>
    <w:rsid w:val="004727EF"/>
    <w:rsid w:val="0047301C"/>
    <w:rsid w:val="0048045B"/>
    <w:rsid w:val="00480CC7"/>
    <w:rsid w:val="00482377"/>
    <w:rsid w:val="00485D66"/>
    <w:rsid w:val="00485EB0"/>
    <w:rsid w:val="0048724B"/>
    <w:rsid w:val="00487BDF"/>
    <w:rsid w:val="00490916"/>
    <w:rsid w:val="00491C57"/>
    <w:rsid w:val="00494868"/>
    <w:rsid w:val="004968D5"/>
    <w:rsid w:val="00497428"/>
    <w:rsid w:val="00497896"/>
    <w:rsid w:val="00497CC1"/>
    <w:rsid w:val="004A07AD"/>
    <w:rsid w:val="004A39D5"/>
    <w:rsid w:val="004A3B53"/>
    <w:rsid w:val="004A5B39"/>
    <w:rsid w:val="004A6442"/>
    <w:rsid w:val="004A6C19"/>
    <w:rsid w:val="004A76E6"/>
    <w:rsid w:val="004B0D24"/>
    <w:rsid w:val="004B2025"/>
    <w:rsid w:val="004B3D21"/>
    <w:rsid w:val="004B534C"/>
    <w:rsid w:val="004B5A96"/>
    <w:rsid w:val="004B5ADE"/>
    <w:rsid w:val="004B79CA"/>
    <w:rsid w:val="004C128A"/>
    <w:rsid w:val="004C13FC"/>
    <w:rsid w:val="004C2899"/>
    <w:rsid w:val="004C5157"/>
    <w:rsid w:val="004C6E8D"/>
    <w:rsid w:val="004C7AE4"/>
    <w:rsid w:val="004D01C4"/>
    <w:rsid w:val="004D0C24"/>
    <w:rsid w:val="004D0E6D"/>
    <w:rsid w:val="004D2BD8"/>
    <w:rsid w:val="004D3DF1"/>
    <w:rsid w:val="004D4FA1"/>
    <w:rsid w:val="004D5BDE"/>
    <w:rsid w:val="004D64B6"/>
    <w:rsid w:val="004D74A4"/>
    <w:rsid w:val="004E0E8E"/>
    <w:rsid w:val="004E1C41"/>
    <w:rsid w:val="004E3489"/>
    <w:rsid w:val="004E5635"/>
    <w:rsid w:val="004E5B98"/>
    <w:rsid w:val="004E6AFC"/>
    <w:rsid w:val="004E6D2D"/>
    <w:rsid w:val="004E6E44"/>
    <w:rsid w:val="004E7B13"/>
    <w:rsid w:val="004F0116"/>
    <w:rsid w:val="004F064D"/>
    <w:rsid w:val="004F2DE5"/>
    <w:rsid w:val="004F5EDC"/>
    <w:rsid w:val="004F6604"/>
    <w:rsid w:val="00500F36"/>
    <w:rsid w:val="00501BC0"/>
    <w:rsid w:val="005027B2"/>
    <w:rsid w:val="00502EBD"/>
    <w:rsid w:val="0050344F"/>
    <w:rsid w:val="00506642"/>
    <w:rsid w:val="0051057F"/>
    <w:rsid w:val="00512464"/>
    <w:rsid w:val="0051430E"/>
    <w:rsid w:val="00514C78"/>
    <w:rsid w:val="00515CA3"/>
    <w:rsid w:val="0051617C"/>
    <w:rsid w:val="00517013"/>
    <w:rsid w:val="005175F5"/>
    <w:rsid w:val="005224A2"/>
    <w:rsid w:val="00522850"/>
    <w:rsid w:val="00522B85"/>
    <w:rsid w:val="005246DB"/>
    <w:rsid w:val="00524748"/>
    <w:rsid w:val="005247E1"/>
    <w:rsid w:val="00525DBA"/>
    <w:rsid w:val="00526533"/>
    <w:rsid w:val="005268F7"/>
    <w:rsid w:val="005279F3"/>
    <w:rsid w:val="005310AF"/>
    <w:rsid w:val="00533297"/>
    <w:rsid w:val="00533839"/>
    <w:rsid w:val="00534633"/>
    <w:rsid w:val="0053474D"/>
    <w:rsid w:val="005366A5"/>
    <w:rsid w:val="00537348"/>
    <w:rsid w:val="00537CF4"/>
    <w:rsid w:val="00537F34"/>
    <w:rsid w:val="00540550"/>
    <w:rsid w:val="005411F6"/>
    <w:rsid w:val="0054210B"/>
    <w:rsid w:val="00542B5B"/>
    <w:rsid w:val="00542B84"/>
    <w:rsid w:val="0054502A"/>
    <w:rsid w:val="0054525D"/>
    <w:rsid w:val="00546CFA"/>
    <w:rsid w:val="00550BCB"/>
    <w:rsid w:val="00551B20"/>
    <w:rsid w:val="005524F2"/>
    <w:rsid w:val="0055306D"/>
    <w:rsid w:val="00555372"/>
    <w:rsid w:val="00556DF5"/>
    <w:rsid w:val="00557F8C"/>
    <w:rsid w:val="00560957"/>
    <w:rsid w:val="00560958"/>
    <w:rsid w:val="00563C57"/>
    <w:rsid w:val="00564101"/>
    <w:rsid w:val="00565AE4"/>
    <w:rsid w:val="00567CFE"/>
    <w:rsid w:val="00567F5E"/>
    <w:rsid w:val="00567F7F"/>
    <w:rsid w:val="005706A0"/>
    <w:rsid w:val="005710D8"/>
    <w:rsid w:val="00571530"/>
    <w:rsid w:val="00571E7E"/>
    <w:rsid w:val="00572220"/>
    <w:rsid w:val="005723E2"/>
    <w:rsid w:val="00572ED3"/>
    <w:rsid w:val="005739D9"/>
    <w:rsid w:val="00574637"/>
    <w:rsid w:val="00575538"/>
    <w:rsid w:val="00575886"/>
    <w:rsid w:val="00577168"/>
    <w:rsid w:val="00577867"/>
    <w:rsid w:val="0058153E"/>
    <w:rsid w:val="005817BC"/>
    <w:rsid w:val="005821C6"/>
    <w:rsid w:val="00584BD0"/>
    <w:rsid w:val="00585CC8"/>
    <w:rsid w:val="00586A23"/>
    <w:rsid w:val="0058745C"/>
    <w:rsid w:val="0058786D"/>
    <w:rsid w:val="00592084"/>
    <w:rsid w:val="00593D50"/>
    <w:rsid w:val="00594014"/>
    <w:rsid w:val="00594ADF"/>
    <w:rsid w:val="00597647"/>
    <w:rsid w:val="005977F2"/>
    <w:rsid w:val="005A0391"/>
    <w:rsid w:val="005A096B"/>
    <w:rsid w:val="005A7FCE"/>
    <w:rsid w:val="005B07F5"/>
    <w:rsid w:val="005B151D"/>
    <w:rsid w:val="005B2163"/>
    <w:rsid w:val="005B27BC"/>
    <w:rsid w:val="005B3531"/>
    <w:rsid w:val="005B4506"/>
    <w:rsid w:val="005B47B9"/>
    <w:rsid w:val="005B486B"/>
    <w:rsid w:val="005B4B49"/>
    <w:rsid w:val="005B5689"/>
    <w:rsid w:val="005B7525"/>
    <w:rsid w:val="005B7BA9"/>
    <w:rsid w:val="005C092A"/>
    <w:rsid w:val="005C1522"/>
    <w:rsid w:val="005C38F2"/>
    <w:rsid w:val="005C4802"/>
    <w:rsid w:val="005C4D23"/>
    <w:rsid w:val="005C4FBD"/>
    <w:rsid w:val="005C50B3"/>
    <w:rsid w:val="005C5D3F"/>
    <w:rsid w:val="005C721D"/>
    <w:rsid w:val="005C7722"/>
    <w:rsid w:val="005C7ED5"/>
    <w:rsid w:val="005D1CEA"/>
    <w:rsid w:val="005D2638"/>
    <w:rsid w:val="005D439C"/>
    <w:rsid w:val="005D5E29"/>
    <w:rsid w:val="005D72F3"/>
    <w:rsid w:val="005E2955"/>
    <w:rsid w:val="005E396C"/>
    <w:rsid w:val="005E39EE"/>
    <w:rsid w:val="005E70FF"/>
    <w:rsid w:val="005F1E82"/>
    <w:rsid w:val="005F2633"/>
    <w:rsid w:val="005F37F4"/>
    <w:rsid w:val="005F467E"/>
    <w:rsid w:val="005F66B0"/>
    <w:rsid w:val="006007F0"/>
    <w:rsid w:val="00601292"/>
    <w:rsid w:val="00602D09"/>
    <w:rsid w:val="0060308B"/>
    <w:rsid w:val="00604246"/>
    <w:rsid w:val="006045FA"/>
    <w:rsid w:val="006074D8"/>
    <w:rsid w:val="00607607"/>
    <w:rsid w:val="00610226"/>
    <w:rsid w:val="0061165D"/>
    <w:rsid w:val="0061386F"/>
    <w:rsid w:val="006142A0"/>
    <w:rsid w:val="0061458F"/>
    <w:rsid w:val="00615BDA"/>
    <w:rsid w:val="00616461"/>
    <w:rsid w:val="00616D52"/>
    <w:rsid w:val="00616F8B"/>
    <w:rsid w:val="00620131"/>
    <w:rsid w:val="00621EE8"/>
    <w:rsid w:val="00622941"/>
    <w:rsid w:val="0062311D"/>
    <w:rsid w:val="00624361"/>
    <w:rsid w:val="0062476A"/>
    <w:rsid w:val="00624AF3"/>
    <w:rsid w:val="00625C72"/>
    <w:rsid w:val="00625CC9"/>
    <w:rsid w:val="006262BA"/>
    <w:rsid w:val="00626B64"/>
    <w:rsid w:val="00630850"/>
    <w:rsid w:val="0063114B"/>
    <w:rsid w:val="00631DD2"/>
    <w:rsid w:val="00631FF5"/>
    <w:rsid w:val="0063201B"/>
    <w:rsid w:val="00632AD8"/>
    <w:rsid w:val="00632C16"/>
    <w:rsid w:val="00633F43"/>
    <w:rsid w:val="00634119"/>
    <w:rsid w:val="00634EF7"/>
    <w:rsid w:val="00635949"/>
    <w:rsid w:val="0063615B"/>
    <w:rsid w:val="00637B7E"/>
    <w:rsid w:val="00637F1E"/>
    <w:rsid w:val="00641293"/>
    <w:rsid w:val="00641E2E"/>
    <w:rsid w:val="00641F2D"/>
    <w:rsid w:val="006425E8"/>
    <w:rsid w:val="006426A0"/>
    <w:rsid w:val="006429D7"/>
    <w:rsid w:val="006444BA"/>
    <w:rsid w:val="006445FA"/>
    <w:rsid w:val="00646C24"/>
    <w:rsid w:val="0064793C"/>
    <w:rsid w:val="006516E6"/>
    <w:rsid w:val="006524B1"/>
    <w:rsid w:val="00652FAF"/>
    <w:rsid w:val="006569B4"/>
    <w:rsid w:val="00656EC1"/>
    <w:rsid w:val="00657345"/>
    <w:rsid w:val="006616FA"/>
    <w:rsid w:val="0066261E"/>
    <w:rsid w:val="0066282C"/>
    <w:rsid w:val="00663633"/>
    <w:rsid w:val="00665130"/>
    <w:rsid w:val="00665EEB"/>
    <w:rsid w:val="00670FFF"/>
    <w:rsid w:val="00672071"/>
    <w:rsid w:val="00672120"/>
    <w:rsid w:val="00673E3F"/>
    <w:rsid w:val="00675348"/>
    <w:rsid w:val="0067703B"/>
    <w:rsid w:val="006778D7"/>
    <w:rsid w:val="0068299B"/>
    <w:rsid w:val="00684DC8"/>
    <w:rsid w:val="00686228"/>
    <w:rsid w:val="00690ED2"/>
    <w:rsid w:val="00691010"/>
    <w:rsid w:val="00691C73"/>
    <w:rsid w:val="0069223A"/>
    <w:rsid w:val="00694C24"/>
    <w:rsid w:val="00697B19"/>
    <w:rsid w:val="006A0A62"/>
    <w:rsid w:val="006A1094"/>
    <w:rsid w:val="006A16F8"/>
    <w:rsid w:val="006A2DFA"/>
    <w:rsid w:val="006A6395"/>
    <w:rsid w:val="006A7842"/>
    <w:rsid w:val="006A7E37"/>
    <w:rsid w:val="006B129F"/>
    <w:rsid w:val="006B3087"/>
    <w:rsid w:val="006B3300"/>
    <w:rsid w:val="006B471C"/>
    <w:rsid w:val="006B4894"/>
    <w:rsid w:val="006B51EA"/>
    <w:rsid w:val="006B5BC4"/>
    <w:rsid w:val="006B6C2E"/>
    <w:rsid w:val="006C2901"/>
    <w:rsid w:val="006C305E"/>
    <w:rsid w:val="006C50ED"/>
    <w:rsid w:val="006C76F2"/>
    <w:rsid w:val="006D0651"/>
    <w:rsid w:val="006D1576"/>
    <w:rsid w:val="006D178C"/>
    <w:rsid w:val="006D1855"/>
    <w:rsid w:val="006D19B9"/>
    <w:rsid w:val="006D2E5F"/>
    <w:rsid w:val="006D3E1B"/>
    <w:rsid w:val="006D65A7"/>
    <w:rsid w:val="006D7178"/>
    <w:rsid w:val="006D7B64"/>
    <w:rsid w:val="006E026B"/>
    <w:rsid w:val="006E087A"/>
    <w:rsid w:val="006E68A2"/>
    <w:rsid w:val="006F0BFF"/>
    <w:rsid w:val="006F2DBD"/>
    <w:rsid w:val="006F4365"/>
    <w:rsid w:val="006F6490"/>
    <w:rsid w:val="00702133"/>
    <w:rsid w:val="0070249C"/>
    <w:rsid w:val="00703408"/>
    <w:rsid w:val="00706560"/>
    <w:rsid w:val="007075DB"/>
    <w:rsid w:val="007108C6"/>
    <w:rsid w:val="00711F58"/>
    <w:rsid w:val="007125D4"/>
    <w:rsid w:val="00712721"/>
    <w:rsid w:val="007131D0"/>
    <w:rsid w:val="0071385C"/>
    <w:rsid w:val="00713C10"/>
    <w:rsid w:val="007142E9"/>
    <w:rsid w:val="007169E5"/>
    <w:rsid w:val="0071782F"/>
    <w:rsid w:val="007179A9"/>
    <w:rsid w:val="0072004A"/>
    <w:rsid w:val="00720104"/>
    <w:rsid w:val="00720764"/>
    <w:rsid w:val="007216C7"/>
    <w:rsid w:val="0072192E"/>
    <w:rsid w:val="00723DC5"/>
    <w:rsid w:val="007250B5"/>
    <w:rsid w:val="007262C6"/>
    <w:rsid w:val="00726CC1"/>
    <w:rsid w:val="00730429"/>
    <w:rsid w:val="00733D40"/>
    <w:rsid w:val="007353FA"/>
    <w:rsid w:val="0073570D"/>
    <w:rsid w:val="007375AE"/>
    <w:rsid w:val="00737DFD"/>
    <w:rsid w:val="007401F7"/>
    <w:rsid w:val="00741372"/>
    <w:rsid w:val="007427FE"/>
    <w:rsid w:val="007521F0"/>
    <w:rsid w:val="00752978"/>
    <w:rsid w:val="007532D3"/>
    <w:rsid w:val="0075397C"/>
    <w:rsid w:val="007539D3"/>
    <w:rsid w:val="0075461B"/>
    <w:rsid w:val="00754A96"/>
    <w:rsid w:val="00755076"/>
    <w:rsid w:val="00755789"/>
    <w:rsid w:val="00755A37"/>
    <w:rsid w:val="007578BC"/>
    <w:rsid w:val="00757AA8"/>
    <w:rsid w:val="00762856"/>
    <w:rsid w:val="00762C5B"/>
    <w:rsid w:val="00763C6F"/>
    <w:rsid w:val="0076765D"/>
    <w:rsid w:val="00770514"/>
    <w:rsid w:val="00770805"/>
    <w:rsid w:val="00770DBD"/>
    <w:rsid w:val="00771A95"/>
    <w:rsid w:val="007731FE"/>
    <w:rsid w:val="0077431F"/>
    <w:rsid w:val="00774EDA"/>
    <w:rsid w:val="007756DA"/>
    <w:rsid w:val="00776931"/>
    <w:rsid w:val="00777CCB"/>
    <w:rsid w:val="007805CA"/>
    <w:rsid w:val="00782674"/>
    <w:rsid w:val="00782B34"/>
    <w:rsid w:val="00783598"/>
    <w:rsid w:val="00783BC3"/>
    <w:rsid w:val="00784282"/>
    <w:rsid w:val="00785494"/>
    <w:rsid w:val="00786122"/>
    <w:rsid w:val="007864F7"/>
    <w:rsid w:val="007871B4"/>
    <w:rsid w:val="00790F83"/>
    <w:rsid w:val="00793B88"/>
    <w:rsid w:val="00793D45"/>
    <w:rsid w:val="0079450C"/>
    <w:rsid w:val="007962E0"/>
    <w:rsid w:val="007963D6"/>
    <w:rsid w:val="007A0BC7"/>
    <w:rsid w:val="007A112F"/>
    <w:rsid w:val="007A1323"/>
    <w:rsid w:val="007A48C2"/>
    <w:rsid w:val="007A6551"/>
    <w:rsid w:val="007A785B"/>
    <w:rsid w:val="007B0518"/>
    <w:rsid w:val="007B1FB0"/>
    <w:rsid w:val="007B795F"/>
    <w:rsid w:val="007C0F52"/>
    <w:rsid w:val="007C176F"/>
    <w:rsid w:val="007C35A9"/>
    <w:rsid w:val="007C5365"/>
    <w:rsid w:val="007C63E8"/>
    <w:rsid w:val="007C6852"/>
    <w:rsid w:val="007D1859"/>
    <w:rsid w:val="007D350D"/>
    <w:rsid w:val="007D6F2C"/>
    <w:rsid w:val="007D7029"/>
    <w:rsid w:val="007E10D8"/>
    <w:rsid w:val="007E13C7"/>
    <w:rsid w:val="007E1D3F"/>
    <w:rsid w:val="007E2DDB"/>
    <w:rsid w:val="007E3005"/>
    <w:rsid w:val="007E5B7C"/>
    <w:rsid w:val="007E71A5"/>
    <w:rsid w:val="007E7851"/>
    <w:rsid w:val="007E799F"/>
    <w:rsid w:val="007E7ABE"/>
    <w:rsid w:val="007F00C7"/>
    <w:rsid w:val="007F1147"/>
    <w:rsid w:val="007F1B7E"/>
    <w:rsid w:val="007F2879"/>
    <w:rsid w:val="007F3491"/>
    <w:rsid w:val="007F532B"/>
    <w:rsid w:val="007F6113"/>
    <w:rsid w:val="007F68AA"/>
    <w:rsid w:val="007F7874"/>
    <w:rsid w:val="00802415"/>
    <w:rsid w:val="00803C4E"/>
    <w:rsid w:val="008057CF"/>
    <w:rsid w:val="00806453"/>
    <w:rsid w:val="00806B75"/>
    <w:rsid w:val="00806CAD"/>
    <w:rsid w:val="0081211E"/>
    <w:rsid w:val="00812992"/>
    <w:rsid w:val="00813763"/>
    <w:rsid w:val="00813845"/>
    <w:rsid w:val="00820480"/>
    <w:rsid w:val="008220C7"/>
    <w:rsid w:val="00822C27"/>
    <w:rsid w:val="00823E4E"/>
    <w:rsid w:val="00826CAA"/>
    <w:rsid w:val="00826E46"/>
    <w:rsid w:val="008314F7"/>
    <w:rsid w:val="00834CEF"/>
    <w:rsid w:val="00835525"/>
    <w:rsid w:val="00835645"/>
    <w:rsid w:val="008437E9"/>
    <w:rsid w:val="0084438A"/>
    <w:rsid w:val="008459D1"/>
    <w:rsid w:val="008464BB"/>
    <w:rsid w:val="00850112"/>
    <w:rsid w:val="00850381"/>
    <w:rsid w:val="0085468A"/>
    <w:rsid w:val="008556B1"/>
    <w:rsid w:val="0085691F"/>
    <w:rsid w:val="00857499"/>
    <w:rsid w:val="00860B16"/>
    <w:rsid w:val="0086273D"/>
    <w:rsid w:val="00862BB1"/>
    <w:rsid w:val="00864E01"/>
    <w:rsid w:val="008651EF"/>
    <w:rsid w:val="00865414"/>
    <w:rsid w:val="00865A27"/>
    <w:rsid w:val="00866523"/>
    <w:rsid w:val="00866780"/>
    <w:rsid w:val="0086723E"/>
    <w:rsid w:val="00871BD6"/>
    <w:rsid w:val="00871C7B"/>
    <w:rsid w:val="00872CCF"/>
    <w:rsid w:val="008810B8"/>
    <w:rsid w:val="008834A2"/>
    <w:rsid w:val="00884A65"/>
    <w:rsid w:val="008869C8"/>
    <w:rsid w:val="008869E3"/>
    <w:rsid w:val="00887071"/>
    <w:rsid w:val="00890471"/>
    <w:rsid w:val="008947B0"/>
    <w:rsid w:val="0089738A"/>
    <w:rsid w:val="008A140E"/>
    <w:rsid w:val="008A261B"/>
    <w:rsid w:val="008A2F09"/>
    <w:rsid w:val="008A3330"/>
    <w:rsid w:val="008A646A"/>
    <w:rsid w:val="008B1C82"/>
    <w:rsid w:val="008B33A0"/>
    <w:rsid w:val="008B3DAA"/>
    <w:rsid w:val="008C078F"/>
    <w:rsid w:val="008C2377"/>
    <w:rsid w:val="008C397F"/>
    <w:rsid w:val="008C401D"/>
    <w:rsid w:val="008C4308"/>
    <w:rsid w:val="008C4451"/>
    <w:rsid w:val="008C5822"/>
    <w:rsid w:val="008C5A85"/>
    <w:rsid w:val="008C69C4"/>
    <w:rsid w:val="008C7BA1"/>
    <w:rsid w:val="008D1A90"/>
    <w:rsid w:val="008D218A"/>
    <w:rsid w:val="008D6AF9"/>
    <w:rsid w:val="008D767A"/>
    <w:rsid w:val="008E511C"/>
    <w:rsid w:val="008E52C5"/>
    <w:rsid w:val="008E58DA"/>
    <w:rsid w:val="008F061D"/>
    <w:rsid w:val="008F2A7C"/>
    <w:rsid w:val="008F2DF5"/>
    <w:rsid w:val="008F2F0D"/>
    <w:rsid w:val="008F3E47"/>
    <w:rsid w:val="008F5F04"/>
    <w:rsid w:val="008F68FF"/>
    <w:rsid w:val="009003B4"/>
    <w:rsid w:val="009004E7"/>
    <w:rsid w:val="00900AD0"/>
    <w:rsid w:val="00902918"/>
    <w:rsid w:val="00902F1F"/>
    <w:rsid w:val="00904955"/>
    <w:rsid w:val="009057F2"/>
    <w:rsid w:val="00907501"/>
    <w:rsid w:val="0091067E"/>
    <w:rsid w:val="00911E26"/>
    <w:rsid w:val="00911FDD"/>
    <w:rsid w:val="00913855"/>
    <w:rsid w:val="00913CB2"/>
    <w:rsid w:val="00914984"/>
    <w:rsid w:val="00915FB8"/>
    <w:rsid w:val="0091735D"/>
    <w:rsid w:val="00920EB4"/>
    <w:rsid w:val="0092148C"/>
    <w:rsid w:val="00922F37"/>
    <w:rsid w:val="009235E6"/>
    <w:rsid w:val="00923EFC"/>
    <w:rsid w:val="009241C0"/>
    <w:rsid w:val="009249F9"/>
    <w:rsid w:val="0092546C"/>
    <w:rsid w:val="00927280"/>
    <w:rsid w:val="00927C25"/>
    <w:rsid w:val="00930347"/>
    <w:rsid w:val="00935773"/>
    <w:rsid w:val="00937134"/>
    <w:rsid w:val="0093737A"/>
    <w:rsid w:val="00940A33"/>
    <w:rsid w:val="00941FFC"/>
    <w:rsid w:val="0094265A"/>
    <w:rsid w:val="009430C0"/>
    <w:rsid w:val="00943466"/>
    <w:rsid w:val="00943916"/>
    <w:rsid w:val="009449CA"/>
    <w:rsid w:val="00945551"/>
    <w:rsid w:val="00946CA6"/>
    <w:rsid w:val="00947EEB"/>
    <w:rsid w:val="00953269"/>
    <w:rsid w:val="00953608"/>
    <w:rsid w:val="00953786"/>
    <w:rsid w:val="00954225"/>
    <w:rsid w:val="009555C1"/>
    <w:rsid w:val="0095564C"/>
    <w:rsid w:val="00955F13"/>
    <w:rsid w:val="00956BD2"/>
    <w:rsid w:val="00960F32"/>
    <w:rsid w:val="009634CC"/>
    <w:rsid w:val="00963832"/>
    <w:rsid w:val="009652E2"/>
    <w:rsid w:val="00965747"/>
    <w:rsid w:val="009664F5"/>
    <w:rsid w:val="009667BE"/>
    <w:rsid w:val="00967DB1"/>
    <w:rsid w:val="0097176A"/>
    <w:rsid w:val="00973A76"/>
    <w:rsid w:val="00973C76"/>
    <w:rsid w:val="00975ED4"/>
    <w:rsid w:val="00976849"/>
    <w:rsid w:val="0097738B"/>
    <w:rsid w:val="00980A40"/>
    <w:rsid w:val="00983554"/>
    <w:rsid w:val="00983F73"/>
    <w:rsid w:val="00984F4A"/>
    <w:rsid w:val="00986512"/>
    <w:rsid w:val="00987BD7"/>
    <w:rsid w:val="00987CB3"/>
    <w:rsid w:val="0099076D"/>
    <w:rsid w:val="00990EF3"/>
    <w:rsid w:val="009924AF"/>
    <w:rsid w:val="00992C2C"/>
    <w:rsid w:val="00994DD2"/>
    <w:rsid w:val="00996CBE"/>
    <w:rsid w:val="009970D8"/>
    <w:rsid w:val="009A190C"/>
    <w:rsid w:val="009A1A0C"/>
    <w:rsid w:val="009A31ED"/>
    <w:rsid w:val="009A7BD4"/>
    <w:rsid w:val="009A7C64"/>
    <w:rsid w:val="009B241D"/>
    <w:rsid w:val="009B30FA"/>
    <w:rsid w:val="009B4AD1"/>
    <w:rsid w:val="009B5391"/>
    <w:rsid w:val="009B657D"/>
    <w:rsid w:val="009C3D53"/>
    <w:rsid w:val="009C4900"/>
    <w:rsid w:val="009C6972"/>
    <w:rsid w:val="009C71F2"/>
    <w:rsid w:val="009D05B6"/>
    <w:rsid w:val="009D1D4D"/>
    <w:rsid w:val="009D21A3"/>
    <w:rsid w:val="009D32C5"/>
    <w:rsid w:val="009D5C78"/>
    <w:rsid w:val="009E160D"/>
    <w:rsid w:val="009E2071"/>
    <w:rsid w:val="009E323E"/>
    <w:rsid w:val="009F431D"/>
    <w:rsid w:val="009F5D4C"/>
    <w:rsid w:val="009F7438"/>
    <w:rsid w:val="00A005AC"/>
    <w:rsid w:val="00A0197B"/>
    <w:rsid w:val="00A01D73"/>
    <w:rsid w:val="00A02026"/>
    <w:rsid w:val="00A031A7"/>
    <w:rsid w:val="00A03F93"/>
    <w:rsid w:val="00A0420C"/>
    <w:rsid w:val="00A04301"/>
    <w:rsid w:val="00A063D6"/>
    <w:rsid w:val="00A066D0"/>
    <w:rsid w:val="00A07D52"/>
    <w:rsid w:val="00A14583"/>
    <w:rsid w:val="00A22050"/>
    <w:rsid w:val="00A241F6"/>
    <w:rsid w:val="00A24317"/>
    <w:rsid w:val="00A2436C"/>
    <w:rsid w:val="00A243AF"/>
    <w:rsid w:val="00A24DA5"/>
    <w:rsid w:val="00A24E05"/>
    <w:rsid w:val="00A2531C"/>
    <w:rsid w:val="00A2544E"/>
    <w:rsid w:val="00A266CE"/>
    <w:rsid w:val="00A276F4"/>
    <w:rsid w:val="00A27D63"/>
    <w:rsid w:val="00A30A1F"/>
    <w:rsid w:val="00A31D75"/>
    <w:rsid w:val="00A324A9"/>
    <w:rsid w:val="00A32725"/>
    <w:rsid w:val="00A33442"/>
    <w:rsid w:val="00A406F4"/>
    <w:rsid w:val="00A41C88"/>
    <w:rsid w:val="00A4296B"/>
    <w:rsid w:val="00A429A4"/>
    <w:rsid w:val="00A42B15"/>
    <w:rsid w:val="00A42D31"/>
    <w:rsid w:val="00A42E0B"/>
    <w:rsid w:val="00A43857"/>
    <w:rsid w:val="00A43AD1"/>
    <w:rsid w:val="00A43E98"/>
    <w:rsid w:val="00A45194"/>
    <w:rsid w:val="00A50F70"/>
    <w:rsid w:val="00A52748"/>
    <w:rsid w:val="00A53731"/>
    <w:rsid w:val="00A53AD8"/>
    <w:rsid w:val="00A55722"/>
    <w:rsid w:val="00A5653D"/>
    <w:rsid w:val="00A56AD5"/>
    <w:rsid w:val="00A57674"/>
    <w:rsid w:val="00A57D73"/>
    <w:rsid w:val="00A64426"/>
    <w:rsid w:val="00A64932"/>
    <w:rsid w:val="00A657E4"/>
    <w:rsid w:val="00A66068"/>
    <w:rsid w:val="00A661A0"/>
    <w:rsid w:val="00A67C79"/>
    <w:rsid w:val="00A704DB"/>
    <w:rsid w:val="00A70B56"/>
    <w:rsid w:val="00A70C19"/>
    <w:rsid w:val="00A71564"/>
    <w:rsid w:val="00A730D4"/>
    <w:rsid w:val="00A738DE"/>
    <w:rsid w:val="00A749A8"/>
    <w:rsid w:val="00A7672B"/>
    <w:rsid w:val="00A767B4"/>
    <w:rsid w:val="00A77AC9"/>
    <w:rsid w:val="00A77F91"/>
    <w:rsid w:val="00A80DD7"/>
    <w:rsid w:val="00A82E39"/>
    <w:rsid w:val="00A83AE9"/>
    <w:rsid w:val="00A83E29"/>
    <w:rsid w:val="00A8504F"/>
    <w:rsid w:val="00A8538B"/>
    <w:rsid w:val="00A85449"/>
    <w:rsid w:val="00A91B4F"/>
    <w:rsid w:val="00A92134"/>
    <w:rsid w:val="00A93225"/>
    <w:rsid w:val="00A95A69"/>
    <w:rsid w:val="00A95E7F"/>
    <w:rsid w:val="00A965C1"/>
    <w:rsid w:val="00A96B75"/>
    <w:rsid w:val="00AA1664"/>
    <w:rsid w:val="00AA1BCE"/>
    <w:rsid w:val="00AA3B25"/>
    <w:rsid w:val="00AA4E64"/>
    <w:rsid w:val="00AA6E3B"/>
    <w:rsid w:val="00AA73FA"/>
    <w:rsid w:val="00AB05DA"/>
    <w:rsid w:val="00AB0D5E"/>
    <w:rsid w:val="00AB1014"/>
    <w:rsid w:val="00AB2373"/>
    <w:rsid w:val="00AB2490"/>
    <w:rsid w:val="00AB2A34"/>
    <w:rsid w:val="00AB32A2"/>
    <w:rsid w:val="00AB3318"/>
    <w:rsid w:val="00AB4627"/>
    <w:rsid w:val="00AB4B76"/>
    <w:rsid w:val="00AB4C0B"/>
    <w:rsid w:val="00AB50B2"/>
    <w:rsid w:val="00AB54E1"/>
    <w:rsid w:val="00AB59AB"/>
    <w:rsid w:val="00AB6EF0"/>
    <w:rsid w:val="00AC08E1"/>
    <w:rsid w:val="00AC1A1F"/>
    <w:rsid w:val="00AC3A15"/>
    <w:rsid w:val="00AC3AB9"/>
    <w:rsid w:val="00AC42DE"/>
    <w:rsid w:val="00AC4749"/>
    <w:rsid w:val="00AC545D"/>
    <w:rsid w:val="00AC6261"/>
    <w:rsid w:val="00AC73B5"/>
    <w:rsid w:val="00AD1A3D"/>
    <w:rsid w:val="00AD1F2D"/>
    <w:rsid w:val="00AD375F"/>
    <w:rsid w:val="00AD4199"/>
    <w:rsid w:val="00AD60B5"/>
    <w:rsid w:val="00AD6779"/>
    <w:rsid w:val="00AD6D80"/>
    <w:rsid w:val="00AE24BF"/>
    <w:rsid w:val="00AE3025"/>
    <w:rsid w:val="00AE4D57"/>
    <w:rsid w:val="00AE52C1"/>
    <w:rsid w:val="00AF2AEA"/>
    <w:rsid w:val="00AF2F0E"/>
    <w:rsid w:val="00AF3998"/>
    <w:rsid w:val="00AF4693"/>
    <w:rsid w:val="00AF5121"/>
    <w:rsid w:val="00AF5793"/>
    <w:rsid w:val="00AF57FE"/>
    <w:rsid w:val="00AF616E"/>
    <w:rsid w:val="00AF6207"/>
    <w:rsid w:val="00AF6F4C"/>
    <w:rsid w:val="00AF7810"/>
    <w:rsid w:val="00B00BAD"/>
    <w:rsid w:val="00B01194"/>
    <w:rsid w:val="00B016CE"/>
    <w:rsid w:val="00B030B6"/>
    <w:rsid w:val="00B0379C"/>
    <w:rsid w:val="00B05DE8"/>
    <w:rsid w:val="00B0612F"/>
    <w:rsid w:val="00B06181"/>
    <w:rsid w:val="00B070AE"/>
    <w:rsid w:val="00B07EA5"/>
    <w:rsid w:val="00B100C5"/>
    <w:rsid w:val="00B1340D"/>
    <w:rsid w:val="00B13775"/>
    <w:rsid w:val="00B14A90"/>
    <w:rsid w:val="00B150CB"/>
    <w:rsid w:val="00B16679"/>
    <w:rsid w:val="00B17091"/>
    <w:rsid w:val="00B174CE"/>
    <w:rsid w:val="00B2001C"/>
    <w:rsid w:val="00B20F44"/>
    <w:rsid w:val="00B2201D"/>
    <w:rsid w:val="00B2285E"/>
    <w:rsid w:val="00B25AB6"/>
    <w:rsid w:val="00B25D4D"/>
    <w:rsid w:val="00B2649B"/>
    <w:rsid w:val="00B30111"/>
    <w:rsid w:val="00B31257"/>
    <w:rsid w:val="00B34424"/>
    <w:rsid w:val="00B34600"/>
    <w:rsid w:val="00B40E3F"/>
    <w:rsid w:val="00B419F8"/>
    <w:rsid w:val="00B4307A"/>
    <w:rsid w:val="00B43DE1"/>
    <w:rsid w:val="00B460F9"/>
    <w:rsid w:val="00B4674A"/>
    <w:rsid w:val="00B4683E"/>
    <w:rsid w:val="00B4761B"/>
    <w:rsid w:val="00B50853"/>
    <w:rsid w:val="00B50942"/>
    <w:rsid w:val="00B5337F"/>
    <w:rsid w:val="00B54B7B"/>
    <w:rsid w:val="00B54DBC"/>
    <w:rsid w:val="00B552C7"/>
    <w:rsid w:val="00B5548D"/>
    <w:rsid w:val="00B565D2"/>
    <w:rsid w:val="00B568FA"/>
    <w:rsid w:val="00B57978"/>
    <w:rsid w:val="00B57BA5"/>
    <w:rsid w:val="00B57C82"/>
    <w:rsid w:val="00B60926"/>
    <w:rsid w:val="00B61A09"/>
    <w:rsid w:val="00B62026"/>
    <w:rsid w:val="00B63072"/>
    <w:rsid w:val="00B63663"/>
    <w:rsid w:val="00B63C23"/>
    <w:rsid w:val="00B63DA1"/>
    <w:rsid w:val="00B649F1"/>
    <w:rsid w:val="00B64E72"/>
    <w:rsid w:val="00B654FA"/>
    <w:rsid w:val="00B70D19"/>
    <w:rsid w:val="00B727A7"/>
    <w:rsid w:val="00B73977"/>
    <w:rsid w:val="00B73996"/>
    <w:rsid w:val="00B74CF2"/>
    <w:rsid w:val="00B74F86"/>
    <w:rsid w:val="00B765C9"/>
    <w:rsid w:val="00B774F3"/>
    <w:rsid w:val="00B77556"/>
    <w:rsid w:val="00B808F9"/>
    <w:rsid w:val="00B829F1"/>
    <w:rsid w:val="00B82E1D"/>
    <w:rsid w:val="00B843A8"/>
    <w:rsid w:val="00B84A90"/>
    <w:rsid w:val="00B84FAD"/>
    <w:rsid w:val="00B86D68"/>
    <w:rsid w:val="00B87AED"/>
    <w:rsid w:val="00B91014"/>
    <w:rsid w:val="00B911D2"/>
    <w:rsid w:val="00B96C79"/>
    <w:rsid w:val="00BA03D4"/>
    <w:rsid w:val="00BA0848"/>
    <w:rsid w:val="00BA14CA"/>
    <w:rsid w:val="00BA14D7"/>
    <w:rsid w:val="00BA15E1"/>
    <w:rsid w:val="00BA3816"/>
    <w:rsid w:val="00BA4139"/>
    <w:rsid w:val="00BA57AA"/>
    <w:rsid w:val="00BA5BBE"/>
    <w:rsid w:val="00BA6027"/>
    <w:rsid w:val="00BA708B"/>
    <w:rsid w:val="00BB0FF1"/>
    <w:rsid w:val="00BB0FF9"/>
    <w:rsid w:val="00BB13CF"/>
    <w:rsid w:val="00BB16FA"/>
    <w:rsid w:val="00BB3A27"/>
    <w:rsid w:val="00BB59ED"/>
    <w:rsid w:val="00BB5B78"/>
    <w:rsid w:val="00BB6475"/>
    <w:rsid w:val="00BB6544"/>
    <w:rsid w:val="00BB6840"/>
    <w:rsid w:val="00BB6D2D"/>
    <w:rsid w:val="00BB7424"/>
    <w:rsid w:val="00BB7F75"/>
    <w:rsid w:val="00BC0E6D"/>
    <w:rsid w:val="00BC21BD"/>
    <w:rsid w:val="00BC264B"/>
    <w:rsid w:val="00BC2D87"/>
    <w:rsid w:val="00BC2F2E"/>
    <w:rsid w:val="00BC3297"/>
    <w:rsid w:val="00BC3E55"/>
    <w:rsid w:val="00BC79E2"/>
    <w:rsid w:val="00BD2EE6"/>
    <w:rsid w:val="00BD36D5"/>
    <w:rsid w:val="00BD37CB"/>
    <w:rsid w:val="00BD5F6B"/>
    <w:rsid w:val="00BD76B0"/>
    <w:rsid w:val="00BD7E39"/>
    <w:rsid w:val="00BE0FA4"/>
    <w:rsid w:val="00BE1517"/>
    <w:rsid w:val="00BE2F32"/>
    <w:rsid w:val="00BE3CB7"/>
    <w:rsid w:val="00BE4D75"/>
    <w:rsid w:val="00BE501C"/>
    <w:rsid w:val="00BE5115"/>
    <w:rsid w:val="00BE684C"/>
    <w:rsid w:val="00BE7607"/>
    <w:rsid w:val="00BF0DBC"/>
    <w:rsid w:val="00BF10A8"/>
    <w:rsid w:val="00BF395C"/>
    <w:rsid w:val="00BF41B3"/>
    <w:rsid w:val="00BF498D"/>
    <w:rsid w:val="00BF5744"/>
    <w:rsid w:val="00BF78D7"/>
    <w:rsid w:val="00BF7D66"/>
    <w:rsid w:val="00C01E0B"/>
    <w:rsid w:val="00C01EB2"/>
    <w:rsid w:val="00C058A3"/>
    <w:rsid w:val="00C07DC7"/>
    <w:rsid w:val="00C123E4"/>
    <w:rsid w:val="00C1293F"/>
    <w:rsid w:val="00C12ADF"/>
    <w:rsid w:val="00C12C8B"/>
    <w:rsid w:val="00C154B6"/>
    <w:rsid w:val="00C16980"/>
    <w:rsid w:val="00C203FC"/>
    <w:rsid w:val="00C20AC4"/>
    <w:rsid w:val="00C20E95"/>
    <w:rsid w:val="00C21A4B"/>
    <w:rsid w:val="00C23213"/>
    <w:rsid w:val="00C239B6"/>
    <w:rsid w:val="00C253BE"/>
    <w:rsid w:val="00C26DB5"/>
    <w:rsid w:val="00C270DF"/>
    <w:rsid w:val="00C30491"/>
    <w:rsid w:val="00C31D4D"/>
    <w:rsid w:val="00C32A63"/>
    <w:rsid w:val="00C33BD3"/>
    <w:rsid w:val="00C35686"/>
    <w:rsid w:val="00C4130C"/>
    <w:rsid w:val="00C43013"/>
    <w:rsid w:val="00C438AC"/>
    <w:rsid w:val="00C43FA1"/>
    <w:rsid w:val="00C469A1"/>
    <w:rsid w:val="00C47F47"/>
    <w:rsid w:val="00C522A5"/>
    <w:rsid w:val="00C544C0"/>
    <w:rsid w:val="00C544CA"/>
    <w:rsid w:val="00C54A53"/>
    <w:rsid w:val="00C54C6C"/>
    <w:rsid w:val="00C54E10"/>
    <w:rsid w:val="00C55C08"/>
    <w:rsid w:val="00C55D5C"/>
    <w:rsid w:val="00C55D90"/>
    <w:rsid w:val="00C565B5"/>
    <w:rsid w:val="00C56CF5"/>
    <w:rsid w:val="00C575FB"/>
    <w:rsid w:val="00C62166"/>
    <w:rsid w:val="00C669BE"/>
    <w:rsid w:val="00C66F6F"/>
    <w:rsid w:val="00C703BE"/>
    <w:rsid w:val="00C70D45"/>
    <w:rsid w:val="00C7101A"/>
    <w:rsid w:val="00C71D06"/>
    <w:rsid w:val="00C721A8"/>
    <w:rsid w:val="00C72264"/>
    <w:rsid w:val="00C72FF8"/>
    <w:rsid w:val="00C747E6"/>
    <w:rsid w:val="00C8116E"/>
    <w:rsid w:val="00C81651"/>
    <w:rsid w:val="00C864CF"/>
    <w:rsid w:val="00C878A4"/>
    <w:rsid w:val="00C90163"/>
    <w:rsid w:val="00C90EDB"/>
    <w:rsid w:val="00C90F5D"/>
    <w:rsid w:val="00C91528"/>
    <w:rsid w:val="00C91DB8"/>
    <w:rsid w:val="00C91FE9"/>
    <w:rsid w:val="00C93707"/>
    <w:rsid w:val="00C95400"/>
    <w:rsid w:val="00C96270"/>
    <w:rsid w:val="00C972B7"/>
    <w:rsid w:val="00CA083E"/>
    <w:rsid w:val="00CA3D00"/>
    <w:rsid w:val="00CA4DB3"/>
    <w:rsid w:val="00CA5E1E"/>
    <w:rsid w:val="00CA77FC"/>
    <w:rsid w:val="00CB07C2"/>
    <w:rsid w:val="00CB1E71"/>
    <w:rsid w:val="00CB30ED"/>
    <w:rsid w:val="00CB4968"/>
    <w:rsid w:val="00CB6D1D"/>
    <w:rsid w:val="00CB7244"/>
    <w:rsid w:val="00CB7399"/>
    <w:rsid w:val="00CB74AA"/>
    <w:rsid w:val="00CC0827"/>
    <w:rsid w:val="00CC76D9"/>
    <w:rsid w:val="00CD0D0C"/>
    <w:rsid w:val="00CD1149"/>
    <w:rsid w:val="00CD1401"/>
    <w:rsid w:val="00CD36C1"/>
    <w:rsid w:val="00CD4DBE"/>
    <w:rsid w:val="00CD59E0"/>
    <w:rsid w:val="00CD5A9B"/>
    <w:rsid w:val="00CD724E"/>
    <w:rsid w:val="00CD7867"/>
    <w:rsid w:val="00CE1258"/>
    <w:rsid w:val="00CE16DB"/>
    <w:rsid w:val="00CE2ED9"/>
    <w:rsid w:val="00CE51D8"/>
    <w:rsid w:val="00CF0052"/>
    <w:rsid w:val="00CF1C5C"/>
    <w:rsid w:val="00CF2A2F"/>
    <w:rsid w:val="00CF31CE"/>
    <w:rsid w:val="00CF48EC"/>
    <w:rsid w:val="00CF57E4"/>
    <w:rsid w:val="00CF5D47"/>
    <w:rsid w:val="00CF639A"/>
    <w:rsid w:val="00D00489"/>
    <w:rsid w:val="00D018C8"/>
    <w:rsid w:val="00D03297"/>
    <w:rsid w:val="00D03BA5"/>
    <w:rsid w:val="00D04D42"/>
    <w:rsid w:val="00D0531A"/>
    <w:rsid w:val="00D05E42"/>
    <w:rsid w:val="00D07AF4"/>
    <w:rsid w:val="00D13784"/>
    <w:rsid w:val="00D154D2"/>
    <w:rsid w:val="00D1619F"/>
    <w:rsid w:val="00D17635"/>
    <w:rsid w:val="00D17CB7"/>
    <w:rsid w:val="00D25AB0"/>
    <w:rsid w:val="00D25C7F"/>
    <w:rsid w:val="00D30715"/>
    <w:rsid w:val="00D33BDD"/>
    <w:rsid w:val="00D35458"/>
    <w:rsid w:val="00D361DB"/>
    <w:rsid w:val="00D36C70"/>
    <w:rsid w:val="00D37618"/>
    <w:rsid w:val="00D404A8"/>
    <w:rsid w:val="00D42089"/>
    <w:rsid w:val="00D4314D"/>
    <w:rsid w:val="00D44653"/>
    <w:rsid w:val="00D4791F"/>
    <w:rsid w:val="00D526D6"/>
    <w:rsid w:val="00D54329"/>
    <w:rsid w:val="00D54F43"/>
    <w:rsid w:val="00D55DDF"/>
    <w:rsid w:val="00D5636C"/>
    <w:rsid w:val="00D56A68"/>
    <w:rsid w:val="00D56B10"/>
    <w:rsid w:val="00D57101"/>
    <w:rsid w:val="00D626CF"/>
    <w:rsid w:val="00D633C8"/>
    <w:rsid w:val="00D6366B"/>
    <w:rsid w:val="00D638E9"/>
    <w:rsid w:val="00D64516"/>
    <w:rsid w:val="00D66D7B"/>
    <w:rsid w:val="00D66E04"/>
    <w:rsid w:val="00D67A7F"/>
    <w:rsid w:val="00D702B0"/>
    <w:rsid w:val="00D708DD"/>
    <w:rsid w:val="00D7104D"/>
    <w:rsid w:val="00D721E5"/>
    <w:rsid w:val="00D72327"/>
    <w:rsid w:val="00D7516A"/>
    <w:rsid w:val="00D7558D"/>
    <w:rsid w:val="00D75865"/>
    <w:rsid w:val="00D76093"/>
    <w:rsid w:val="00D769B8"/>
    <w:rsid w:val="00D81E61"/>
    <w:rsid w:val="00D82DDB"/>
    <w:rsid w:val="00D8395F"/>
    <w:rsid w:val="00D83CCD"/>
    <w:rsid w:val="00D84224"/>
    <w:rsid w:val="00D84E13"/>
    <w:rsid w:val="00D85240"/>
    <w:rsid w:val="00D85437"/>
    <w:rsid w:val="00D87074"/>
    <w:rsid w:val="00D90345"/>
    <w:rsid w:val="00D90C06"/>
    <w:rsid w:val="00D90CFC"/>
    <w:rsid w:val="00D91B96"/>
    <w:rsid w:val="00D92700"/>
    <w:rsid w:val="00D93C50"/>
    <w:rsid w:val="00D96EBD"/>
    <w:rsid w:val="00DA304F"/>
    <w:rsid w:val="00DA3AEB"/>
    <w:rsid w:val="00DA3B4A"/>
    <w:rsid w:val="00DA5796"/>
    <w:rsid w:val="00DA61FB"/>
    <w:rsid w:val="00DA747D"/>
    <w:rsid w:val="00DB053B"/>
    <w:rsid w:val="00DB322B"/>
    <w:rsid w:val="00DB3F7B"/>
    <w:rsid w:val="00DB44E8"/>
    <w:rsid w:val="00DB48AE"/>
    <w:rsid w:val="00DB4B4A"/>
    <w:rsid w:val="00DB5E81"/>
    <w:rsid w:val="00DB6EE6"/>
    <w:rsid w:val="00DC23D5"/>
    <w:rsid w:val="00DC6BA2"/>
    <w:rsid w:val="00DC7296"/>
    <w:rsid w:val="00DD12E5"/>
    <w:rsid w:val="00DD1923"/>
    <w:rsid w:val="00DD2F32"/>
    <w:rsid w:val="00DD50A3"/>
    <w:rsid w:val="00DD51F2"/>
    <w:rsid w:val="00DD7B35"/>
    <w:rsid w:val="00DD7CDD"/>
    <w:rsid w:val="00DE3E4B"/>
    <w:rsid w:val="00DE4C08"/>
    <w:rsid w:val="00DE4D67"/>
    <w:rsid w:val="00DE5EB6"/>
    <w:rsid w:val="00DF0F96"/>
    <w:rsid w:val="00DF120A"/>
    <w:rsid w:val="00DF1C86"/>
    <w:rsid w:val="00DF22F2"/>
    <w:rsid w:val="00DF4362"/>
    <w:rsid w:val="00DF5EAD"/>
    <w:rsid w:val="00DF6141"/>
    <w:rsid w:val="00DF771E"/>
    <w:rsid w:val="00E00047"/>
    <w:rsid w:val="00E004F6"/>
    <w:rsid w:val="00E04690"/>
    <w:rsid w:val="00E046EF"/>
    <w:rsid w:val="00E04718"/>
    <w:rsid w:val="00E04990"/>
    <w:rsid w:val="00E04D72"/>
    <w:rsid w:val="00E05ECD"/>
    <w:rsid w:val="00E11002"/>
    <w:rsid w:val="00E11022"/>
    <w:rsid w:val="00E112A8"/>
    <w:rsid w:val="00E13334"/>
    <w:rsid w:val="00E1503E"/>
    <w:rsid w:val="00E15CE5"/>
    <w:rsid w:val="00E2360B"/>
    <w:rsid w:val="00E269F1"/>
    <w:rsid w:val="00E27ADC"/>
    <w:rsid w:val="00E30264"/>
    <w:rsid w:val="00E305D3"/>
    <w:rsid w:val="00E31C8D"/>
    <w:rsid w:val="00E3259E"/>
    <w:rsid w:val="00E34E9F"/>
    <w:rsid w:val="00E41446"/>
    <w:rsid w:val="00E4168E"/>
    <w:rsid w:val="00E438EB"/>
    <w:rsid w:val="00E4556B"/>
    <w:rsid w:val="00E457DD"/>
    <w:rsid w:val="00E4707B"/>
    <w:rsid w:val="00E47C62"/>
    <w:rsid w:val="00E50FE1"/>
    <w:rsid w:val="00E50FE4"/>
    <w:rsid w:val="00E525C8"/>
    <w:rsid w:val="00E54F4D"/>
    <w:rsid w:val="00E55C95"/>
    <w:rsid w:val="00E5639A"/>
    <w:rsid w:val="00E56AB7"/>
    <w:rsid w:val="00E56FE8"/>
    <w:rsid w:val="00E609B1"/>
    <w:rsid w:val="00E61214"/>
    <w:rsid w:val="00E61FBF"/>
    <w:rsid w:val="00E63720"/>
    <w:rsid w:val="00E63C31"/>
    <w:rsid w:val="00E63EDE"/>
    <w:rsid w:val="00E6539C"/>
    <w:rsid w:val="00E6651E"/>
    <w:rsid w:val="00E66782"/>
    <w:rsid w:val="00E71E72"/>
    <w:rsid w:val="00E739FD"/>
    <w:rsid w:val="00E76112"/>
    <w:rsid w:val="00E76452"/>
    <w:rsid w:val="00E8052E"/>
    <w:rsid w:val="00E80E4F"/>
    <w:rsid w:val="00E81508"/>
    <w:rsid w:val="00E816A0"/>
    <w:rsid w:val="00E827E9"/>
    <w:rsid w:val="00E8481E"/>
    <w:rsid w:val="00E84959"/>
    <w:rsid w:val="00E86BC4"/>
    <w:rsid w:val="00E87C62"/>
    <w:rsid w:val="00E90370"/>
    <w:rsid w:val="00E93F4F"/>
    <w:rsid w:val="00E9457B"/>
    <w:rsid w:val="00E96E6D"/>
    <w:rsid w:val="00E973BA"/>
    <w:rsid w:val="00E976CE"/>
    <w:rsid w:val="00EA1AFF"/>
    <w:rsid w:val="00EA30B5"/>
    <w:rsid w:val="00EA4617"/>
    <w:rsid w:val="00EA4AFA"/>
    <w:rsid w:val="00EA4CCD"/>
    <w:rsid w:val="00EA6286"/>
    <w:rsid w:val="00EA7763"/>
    <w:rsid w:val="00EA7F2A"/>
    <w:rsid w:val="00EB047C"/>
    <w:rsid w:val="00EB3136"/>
    <w:rsid w:val="00EB390C"/>
    <w:rsid w:val="00EB5879"/>
    <w:rsid w:val="00EB7143"/>
    <w:rsid w:val="00EB7FEC"/>
    <w:rsid w:val="00EC174B"/>
    <w:rsid w:val="00EC2346"/>
    <w:rsid w:val="00EC2ED2"/>
    <w:rsid w:val="00EC3154"/>
    <w:rsid w:val="00EC359E"/>
    <w:rsid w:val="00EC4185"/>
    <w:rsid w:val="00EC642F"/>
    <w:rsid w:val="00EC6BB4"/>
    <w:rsid w:val="00ED04BF"/>
    <w:rsid w:val="00ED11E5"/>
    <w:rsid w:val="00ED153D"/>
    <w:rsid w:val="00ED455E"/>
    <w:rsid w:val="00ED4C23"/>
    <w:rsid w:val="00ED6DC1"/>
    <w:rsid w:val="00EE0A91"/>
    <w:rsid w:val="00EE1727"/>
    <w:rsid w:val="00EE2566"/>
    <w:rsid w:val="00EE26FD"/>
    <w:rsid w:val="00EE5454"/>
    <w:rsid w:val="00EE5E70"/>
    <w:rsid w:val="00EE730D"/>
    <w:rsid w:val="00EF0CAF"/>
    <w:rsid w:val="00EF6F73"/>
    <w:rsid w:val="00F03A42"/>
    <w:rsid w:val="00F03C77"/>
    <w:rsid w:val="00F06178"/>
    <w:rsid w:val="00F067D4"/>
    <w:rsid w:val="00F06B3A"/>
    <w:rsid w:val="00F10E8D"/>
    <w:rsid w:val="00F10FB5"/>
    <w:rsid w:val="00F12C13"/>
    <w:rsid w:val="00F12E85"/>
    <w:rsid w:val="00F15362"/>
    <w:rsid w:val="00F15B88"/>
    <w:rsid w:val="00F15BCA"/>
    <w:rsid w:val="00F1620C"/>
    <w:rsid w:val="00F21233"/>
    <w:rsid w:val="00F2333D"/>
    <w:rsid w:val="00F246A9"/>
    <w:rsid w:val="00F26B7E"/>
    <w:rsid w:val="00F26CFE"/>
    <w:rsid w:val="00F30C41"/>
    <w:rsid w:val="00F3100B"/>
    <w:rsid w:val="00F314B5"/>
    <w:rsid w:val="00F3281A"/>
    <w:rsid w:val="00F32A70"/>
    <w:rsid w:val="00F32B88"/>
    <w:rsid w:val="00F332BF"/>
    <w:rsid w:val="00F33AF2"/>
    <w:rsid w:val="00F34DFE"/>
    <w:rsid w:val="00F34F50"/>
    <w:rsid w:val="00F351F6"/>
    <w:rsid w:val="00F35D3A"/>
    <w:rsid w:val="00F374F4"/>
    <w:rsid w:val="00F40056"/>
    <w:rsid w:val="00F40355"/>
    <w:rsid w:val="00F40983"/>
    <w:rsid w:val="00F41630"/>
    <w:rsid w:val="00F42452"/>
    <w:rsid w:val="00F42FDB"/>
    <w:rsid w:val="00F43A77"/>
    <w:rsid w:val="00F44F62"/>
    <w:rsid w:val="00F452EB"/>
    <w:rsid w:val="00F453AD"/>
    <w:rsid w:val="00F45C36"/>
    <w:rsid w:val="00F46AEC"/>
    <w:rsid w:val="00F51F17"/>
    <w:rsid w:val="00F55BBA"/>
    <w:rsid w:val="00F629B9"/>
    <w:rsid w:val="00F63134"/>
    <w:rsid w:val="00F63768"/>
    <w:rsid w:val="00F63E5F"/>
    <w:rsid w:val="00F67649"/>
    <w:rsid w:val="00F6778F"/>
    <w:rsid w:val="00F67E49"/>
    <w:rsid w:val="00F71291"/>
    <w:rsid w:val="00F72180"/>
    <w:rsid w:val="00F725A3"/>
    <w:rsid w:val="00F72AA6"/>
    <w:rsid w:val="00F74802"/>
    <w:rsid w:val="00F74D8E"/>
    <w:rsid w:val="00F75D6D"/>
    <w:rsid w:val="00F76420"/>
    <w:rsid w:val="00F77603"/>
    <w:rsid w:val="00F813A1"/>
    <w:rsid w:val="00F8214F"/>
    <w:rsid w:val="00F82E99"/>
    <w:rsid w:val="00F82F5E"/>
    <w:rsid w:val="00F851A4"/>
    <w:rsid w:val="00F8563C"/>
    <w:rsid w:val="00F858D1"/>
    <w:rsid w:val="00F86F44"/>
    <w:rsid w:val="00F87DF2"/>
    <w:rsid w:val="00F90161"/>
    <w:rsid w:val="00F902CB"/>
    <w:rsid w:val="00F93315"/>
    <w:rsid w:val="00FA48F9"/>
    <w:rsid w:val="00FA504F"/>
    <w:rsid w:val="00FA7A02"/>
    <w:rsid w:val="00FB2148"/>
    <w:rsid w:val="00FB28B6"/>
    <w:rsid w:val="00FB3F37"/>
    <w:rsid w:val="00FB43F4"/>
    <w:rsid w:val="00FB50A8"/>
    <w:rsid w:val="00FB5784"/>
    <w:rsid w:val="00FB7193"/>
    <w:rsid w:val="00FB7E35"/>
    <w:rsid w:val="00FC3D63"/>
    <w:rsid w:val="00FC6627"/>
    <w:rsid w:val="00FC668D"/>
    <w:rsid w:val="00FC6BE9"/>
    <w:rsid w:val="00FC7F49"/>
    <w:rsid w:val="00FD01B6"/>
    <w:rsid w:val="00FD038D"/>
    <w:rsid w:val="00FD0C61"/>
    <w:rsid w:val="00FD1696"/>
    <w:rsid w:val="00FD20A0"/>
    <w:rsid w:val="00FD3744"/>
    <w:rsid w:val="00FD7530"/>
    <w:rsid w:val="00FD7D85"/>
    <w:rsid w:val="00FE1D3B"/>
    <w:rsid w:val="00FE2F7F"/>
    <w:rsid w:val="00FE5635"/>
    <w:rsid w:val="00FE7412"/>
    <w:rsid w:val="00FF14C4"/>
    <w:rsid w:val="00FF51C1"/>
    <w:rsid w:val="00FF59F2"/>
    <w:rsid w:val="00FF6051"/>
    <w:rsid w:val="00FF698F"/>
    <w:rsid w:val="00FF6BB2"/>
    <w:rsid w:val="01142154"/>
    <w:rsid w:val="01224BE3"/>
    <w:rsid w:val="014E620E"/>
    <w:rsid w:val="017A763C"/>
    <w:rsid w:val="01A37BE4"/>
    <w:rsid w:val="01B1013C"/>
    <w:rsid w:val="01DB33A1"/>
    <w:rsid w:val="01E5012D"/>
    <w:rsid w:val="0204512F"/>
    <w:rsid w:val="021538BD"/>
    <w:rsid w:val="021539B3"/>
    <w:rsid w:val="0219503E"/>
    <w:rsid w:val="021E7495"/>
    <w:rsid w:val="02373AE0"/>
    <w:rsid w:val="02952CF6"/>
    <w:rsid w:val="02962409"/>
    <w:rsid w:val="02BA3F40"/>
    <w:rsid w:val="02C32A4A"/>
    <w:rsid w:val="02E10524"/>
    <w:rsid w:val="02F06A7E"/>
    <w:rsid w:val="0307276F"/>
    <w:rsid w:val="030979BE"/>
    <w:rsid w:val="0312752C"/>
    <w:rsid w:val="032E63EF"/>
    <w:rsid w:val="034142EA"/>
    <w:rsid w:val="03595490"/>
    <w:rsid w:val="03807DBD"/>
    <w:rsid w:val="038C5876"/>
    <w:rsid w:val="03A61A81"/>
    <w:rsid w:val="03DC62C0"/>
    <w:rsid w:val="03E05388"/>
    <w:rsid w:val="03FF47F7"/>
    <w:rsid w:val="04032F4E"/>
    <w:rsid w:val="04293D51"/>
    <w:rsid w:val="04296634"/>
    <w:rsid w:val="0476213B"/>
    <w:rsid w:val="049C5421"/>
    <w:rsid w:val="049E00C5"/>
    <w:rsid w:val="04A77A6A"/>
    <w:rsid w:val="04AE5BBC"/>
    <w:rsid w:val="04D66290"/>
    <w:rsid w:val="04EA6FCE"/>
    <w:rsid w:val="04FA589F"/>
    <w:rsid w:val="04FC53EF"/>
    <w:rsid w:val="050A7261"/>
    <w:rsid w:val="05435A9C"/>
    <w:rsid w:val="055833EE"/>
    <w:rsid w:val="05747377"/>
    <w:rsid w:val="05840373"/>
    <w:rsid w:val="05845C01"/>
    <w:rsid w:val="05BD0809"/>
    <w:rsid w:val="060636C8"/>
    <w:rsid w:val="060D7804"/>
    <w:rsid w:val="060D7DA3"/>
    <w:rsid w:val="061115D9"/>
    <w:rsid w:val="06117A49"/>
    <w:rsid w:val="06131A40"/>
    <w:rsid w:val="064B7D48"/>
    <w:rsid w:val="064C565D"/>
    <w:rsid w:val="06987982"/>
    <w:rsid w:val="069A6E23"/>
    <w:rsid w:val="07040577"/>
    <w:rsid w:val="07050898"/>
    <w:rsid w:val="07082722"/>
    <w:rsid w:val="073E3CA7"/>
    <w:rsid w:val="074922C6"/>
    <w:rsid w:val="074E6BCF"/>
    <w:rsid w:val="075A7A69"/>
    <w:rsid w:val="07AD21F5"/>
    <w:rsid w:val="07B16CB9"/>
    <w:rsid w:val="07F82B6B"/>
    <w:rsid w:val="08152221"/>
    <w:rsid w:val="08271C6A"/>
    <w:rsid w:val="082849A3"/>
    <w:rsid w:val="08391732"/>
    <w:rsid w:val="08464CD4"/>
    <w:rsid w:val="089721FE"/>
    <w:rsid w:val="08A70E64"/>
    <w:rsid w:val="08CF713B"/>
    <w:rsid w:val="08E17A03"/>
    <w:rsid w:val="08F9784F"/>
    <w:rsid w:val="09065F59"/>
    <w:rsid w:val="09091851"/>
    <w:rsid w:val="091F373E"/>
    <w:rsid w:val="09257B59"/>
    <w:rsid w:val="09580A19"/>
    <w:rsid w:val="095F26FA"/>
    <w:rsid w:val="0967341F"/>
    <w:rsid w:val="09A93F69"/>
    <w:rsid w:val="09C02DA8"/>
    <w:rsid w:val="09F4100F"/>
    <w:rsid w:val="0A137474"/>
    <w:rsid w:val="0A385991"/>
    <w:rsid w:val="0A3C42F6"/>
    <w:rsid w:val="0A7870D8"/>
    <w:rsid w:val="0ABC0DD7"/>
    <w:rsid w:val="0AE10AEC"/>
    <w:rsid w:val="0B0E7ED2"/>
    <w:rsid w:val="0B264714"/>
    <w:rsid w:val="0B27700F"/>
    <w:rsid w:val="0B3C3591"/>
    <w:rsid w:val="0B3D18E8"/>
    <w:rsid w:val="0B440D07"/>
    <w:rsid w:val="0B49434D"/>
    <w:rsid w:val="0B805244"/>
    <w:rsid w:val="0B854F5D"/>
    <w:rsid w:val="0BD26F94"/>
    <w:rsid w:val="0BE3068E"/>
    <w:rsid w:val="0C062642"/>
    <w:rsid w:val="0C24217D"/>
    <w:rsid w:val="0C486DE1"/>
    <w:rsid w:val="0C597179"/>
    <w:rsid w:val="0C636D9C"/>
    <w:rsid w:val="0C6467E0"/>
    <w:rsid w:val="0C6B443F"/>
    <w:rsid w:val="0C80381E"/>
    <w:rsid w:val="0C8742AB"/>
    <w:rsid w:val="0C9D0EB4"/>
    <w:rsid w:val="0CA2029C"/>
    <w:rsid w:val="0CAB4D5A"/>
    <w:rsid w:val="0CBA6607"/>
    <w:rsid w:val="0CC00C16"/>
    <w:rsid w:val="0CC80869"/>
    <w:rsid w:val="0CD86EE2"/>
    <w:rsid w:val="0CEC5D3C"/>
    <w:rsid w:val="0CEF42BE"/>
    <w:rsid w:val="0CF9652A"/>
    <w:rsid w:val="0D061221"/>
    <w:rsid w:val="0D0A2BA3"/>
    <w:rsid w:val="0D455F17"/>
    <w:rsid w:val="0D496C49"/>
    <w:rsid w:val="0D4C22C1"/>
    <w:rsid w:val="0D87510F"/>
    <w:rsid w:val="0DEB0947"/>
    <w:rsid w:val="0E395689"/>
    <w:rsid w:val="0EA300DD"/>
    <w:rsid w:val="0EAF7B3D"/>
    <w:rsid w:val="0EC277F8"/>
    <w:rsid w:val="0EF27A3E"/>
    <w:rsid w:val="0F035A55"/>
    <w:rsid w:val="0F1E4C97"/>
    <w:rsid w:val="0F456C24"/>
    <w:rsid w:val="0F550F66"/>
    <w:rsid w:val="0F661AC4"/>
    <w:rsid w:val="0F711FF4"/>
    <w:rsid w:val="0F857668"/>
    <w:rsid w:val="0F9D0579"/>
    <w:rsid w:val="0FA936DE"/>
    <w:rsid w:val="0FB17DA6"/>
    <w:rsid w:val="0FB6293E"/>
    <w:rsid w:val="0FC96AB3"/>
    <w:rsid w:val="0FEC674A"/>
    <w:rsid w:val="101809DE"/>
    <w:rsid w:val="102271A7"/>
    <w:rsid w:val="10244D19"/>
    <w:rsid w:val="10252C87"/>
    <w:rsid w:val="10261385"/>
    <w:rsid w:val="103113AD"/>
    <w:rsid w:val="104C30FD"/>
    <w:rsid w:val="108F1F14"/>
    <w:rsid w:val="10A01A04"/>
    <w:rsid w:val="10CD1FE1"/>
    <w:rsid w:val="10F05418"/>
    <w:rsid w:val="116B3DA1"/>
    <w:rsid w:val="117D6001"/>
    <w:rsid w:val="11857055"/>
    <w:rsid w:val="11974FC6"/>
    <w:rsid w:val="119E0273"/>
    <w:rsid w:val="12173C3C"/>
    <w:rsid w:val="122C3D7D"/>
    <w:rsid w:val="123413AC"/>
    <w:rsid w:val="123C2A8B"/>
    <w:rsid w:val="1240776E"/>
    <w:rsid w:val="12517042"/>
    <w:rsid w:val="12973D63"/>
    <w:rsid w:val="12B64AE3"/>
    <w:rsid w:val="12B71275"/>
    <w:rsid w:val="12EB2EF4"/>
    <w:rsid w:val="12ED4B4E"/>
    <w:rsid w:val="12F6687F"/>
    <w:rsid w:val="1347361F"/>
    <w:rsid w:val="13527F3C"/>
    <w:rsid w:val="13582A36"/>
    <w:rsid w:val="135D6BC7"/>
    <w:rsid w:val="13A24108"/>
    <w:rsid w:val="13AA0221"/>
    <w:rsid w:val="13AD1068"/>
    <w:rsid w:val="13E16208"/>
    <w:rsid w:val="140900F6"/>
    <w:rsid w:val="147F110E"/>
    <w:rsid w:val="14811F2C"/>
    <w:rsid w:val="14965C84"/>
    <w:rsid w:val="14BB615B"/>
    <w:rsid w:val="14BC104C"/>
    <w:rsid w:val="14DB350F"/>
    <w:rsid w:val="153009C2"/>
    <w:rsid w:val="153A3C6D"/>
    <w:rsid w:val="154E48D0"/>
    <w:rsid w:val="15645C0C"/>
    <w:rsid w:val="15837195"/>
    <w:rsid w:val="159F2072"/>
    <w:rsid w:val="15B53D1D"/>
    <w:rsid w:val="15BF263F"/>
    <w:rsid w:val="15C6403F"/>
    <w:rsid w:val="15C957F7"/>
    <w:rsid w:val="15ED21E9"/>
    <w:rsid w:val="15EE3FA7"/>
    <w:rsid w:val="15EF55A9"/>
    <w:rsid w:val="15F17651"/>
    <w:rsid w:val="160B5AAF"/>
    <w:rsid w:val="160D1C78"/>
    <w:rsid w:val="162A2E90"/>
    <w:rsid w:val="1669677F"/>
    <w:rsid w:val="168955BB"/>
    <w:rsid w:val="168964FB"/>
    <w:rsid w:val="16937320"/>
    <w:rsid w:val="16A85CBA"/>
    <w:rsid w:val="16B74363"/>
    <w:rsid w:val="173E7972"/>
    <w:rsid w:val="17470460"/>
    <w:rsid w:val="174B4C9C"/>
    <w:rsid w:val="17687435"/>
    <w:rsid w:val="176F2B31"/>
    <w:rsid w:val="177571B8"/>
    <w:rsid w:val="17991512"/>
    <w:rsid w:val="17A75FC5"/>
    <w:rsid w:val="17F40C35"/>
    <w:rsid w:val="18136019"/>
    <w:rsid w:val="187552C7"/>
    <w:rsid w:val="18862D96"/>
    <w:rsid w:val="189036BE"/>
    <w:rsid w:val="18A33B86"/>
    <w:rsid w:val="18AC628D"/>
    <w:rsid w:val="18C9552F"/>
    <w:rsid w:val="18FF4831"/>
    <w:rsid w:val="19011CF1"/>
    <w:rsid w:val="1937711D"/>
    <w:rsid w:val="19580138"/>
    <w:rsid w:val="196750DC"/>
    <w:rsid w:val="19B57819"/>
    <w:rsid w:val="19E441CF"/>
    <w:rsid w:val="19FC3B7E"/>
    <w:rsid w:val="1A0D32DB"/>
    <w:rsid w:val="1A3C612C"/>
    <w:rsid w:val="1A3E08BC"/>
    <w:rsid w:val="1A536227"/>
    <w:rsid w:val="1A584639"/>
    <w:rsid w:val="1A7F72E6"/>
    <w:rsid w:val="1A8D0030"/>
    <w:rsid w:val="1A8F09F1"/>
    <w:rsid w:val="1A982E8E"/>
    <w:rsid w:val="1ABA51D4"/>
    <w:rsid w:val="1ADA4331"/>
    <w:rsid w:val="1B014A5C"/>
    <w:rsid w:val="1B267092"/>
    <w:rsid w:val="1B3D0B7B"/>
    <w:rsid w:val="1BA14792"/>
    <w:rsid w:val="1BA36619"/>
    <w:rsid w:val="1BBB40B6"/>
    <w:rsid w:val="1BBE7623"/>
    <w:rsid w:val="1BC24398"/>
    <w:rsid w:val="1BCA5C08"/>
    <w:rsid w:val="1C3A0BE8"/>
    <w:rsid w:val="1C8006C2"/>
    <w:rsid w:val="1C870C09"/>
    <w:rsid w:val="1CA16C5A"/>
    <w:rsid w:val="1CA732B1"/>
    <w:rsid w:val="1CB90A33"/>
    <w:rsid w:val="1CCC02A2"/>
    <w:rsid w:val="1CD04541"/>
    <w:rsid w:val="1CF27185"/>
    <w:rsid w:val="1CFA5BBC"/>
    <w:rsid w:val="1D2E60B6"/>
    <w:rsid w:val="1D926415"/>
    <w:rsid w:val="1D954F57"/>
    <w:rsid w:val="1D963006"/>
    <w:rsid w:val="1DB61936"/>
    <w:rsid w:val="1DC22FB9"/>
    <w:rsid w:val="1DEA28D9"/>
    <w:rsid w:val="1DF161FF"/>
    <w:rsid w:val="1DFF4840"/>
    <w:rsid w:val="1E421937"/>
    <w:rsid w:val="1E5E03E0"/>
    <w:rsid w:val="1E6B705F"/>
    <w:rsid w:val="1E7112B5"/>
    <w:rsid w:val="1EAA78B6"/>
    <w:rsid w:val="1EAD16E9"/>
    <w:rsid w:val="1EC85610"/>
    <w:rsid w:val="1EDE18D3"/>
    <w:rsid w:val="1EED0A4D"/>
    <w:rsid w:val="1F1A7E4E"/>
    <w:rsid w:val="1F1C4EA0"/>
    <w:rsid w:val="1F3F2066"/>
    <w:rsid w:val="1F42270A"/>
    <w:rsid w:val="1FCB7E2F"/>
    <w:rsid w:val="1FD75B49"/>
    <w:rsid w:val="1FD9433A"/>
    <w:rsid w:val="1FF61D85"/>
    <w:rsid w:val="1FFD7AEB"/>
    <w:rsid w:val="200C182F"/>
    <w:rsid w:val="200F07F1"/>
    <w:rsid w:val="20122CA6"/>
    <w:rsid w:val="2018461E"/>
    <w:rsid w:val="201A1A96"/>
    <w:rsid w:val="20354809"/>
    <w:rsid w:val="20465526"/>
    <w:rsid w:val="2054554C"/>
    <w:rsid w:val="20616B21"/>
    <w:rsid w:val="209143E2"/>
    <w:rsid w:val="20A80564"/>
    <w:rsid w:val="20AB2E08"/>
    <w:rsid w:val="20C97E49"/>
    <w:rsid w:val="20DB40E6"/>
    <w:rsid w:val="20F12447"/>
    <w:rsid w:val="210A4A60"/>
    <w:rsid w:val="21135E48"/>
    <w:rsid w:val="21235315"/>
    <w:rsid w:val="212F3D01"/>
    <w:rsid w:val="213453F0"/>
    <w:rsid w:val="213E05C5"/>
    <w:rsid w:val="215332C9"/>
    <w:rsid w:val="218020F5"/>
    <w:rsid w:val="21803AF6"/>
    <w:rsid w:val="21A65ACD"/>
    <w:rsid w:val="21CF6B98"/>
    <w:rsid w:val="21F97E4E"/>
    <w:rsid w:val="22363A6A"/>
    <w:rsid w:val="223C1FD7"/>
    <w:rsid w:val="223F73FB"/>
    <w:rsid w:val="2263070E"/>
    <w:rsid w:val="22784DE2"/>
    <w:rsid w:val="227A4B1F"/>
    <w:rsid w:val="22A12E6A"/>
    <w:rsid w:val="22A81A2A"/>
    <w:rsid w:val="22B8612B"/>
    <w:rsid w:val="22D53142"/>
    <w:rsid w:val="22F07FFE"/>
    <w:rsid w:val="22FF10B6"/>
    <w:rsid w:val="22FF4918"/>
    <w:rsid w:val="23006956"/>
    <w:rsid w:val="232222A9"/>
    <w:rsid w:val="23233345"/>
    <w:rsid w:val="23293E6E"/>
    <w:rsid w:val="2376678A"/>
    <w:rsid w:val="2396011A"/>
    <w:rsid w:val="23AD1ED5"/>
    <w:rsid w:val="23AE1F4D"/>
    <w:rsid w:val="23B64A12"/>
    <w:rsid w:val="23DD4B75"/>
    <w:rsid w:val="23E766B2"/>
    <w:rsid w:val="23FD4020"/>
    <w:rsid w:val="243446A1"/>
    <w:rsid w:val="24467504"/>
    <w:rsid w:val="246073F2"/>
    <w:rsid w:val="24654AC4"/>
    <w:rsid w:val="24775BF9"/>
    <w:rsid w:val="24C9730A"/>
    <w:rsid w:val="24D56E88"/>
    <w:rsid w:val="24E81949"/>
    <w:rsid w:val="24EA2008"/>
    <w:rsid w:val="2559389F"/>
    <w:rsid w:val="25A06A3F"/>
    <w:rsid w:val="25C37124"/>
    <w:rsid w:val="25DA3F0C"/>
    <w:rsid w:val="25E8418C"/>
    <w:rsid w:val="2680761F"/>
    <w:rsid w:val="26AD449D"/>
    <w:rsid w:val="26B260A3"/>
    <w:rsid w:val="26E43312"/>
    <w:rsid w:val="26FD2E3B"/>
    <w:rsid w:val="27180224"/>
    <w:rsid w:val="271C640A"/>
    <w:rsid w:val="274F391D"/>
    <w:rsid w:val="276256FA"/>
    <w:rsid w:val="27912EB5"/>
    <w:rsid w:val="27A60C8A"/>
    <w:rsid w:val="27DB6223"/>
    <w:rsid w:val="27E40A84"/>
    <w:rsid w:val="28030426"/>
    <w:rsid w:val="28264D0C"/>
    <w:rsid w:val="282B485F"/>
    <w:rsid w:val="2869760B"/>
    <w:rsid w:val="288674A0"/>
    <w:rsid w:val="28913849"/>
    <w:rsid w:val="28AC3790"/>
    <w:rsid w:val="28CC4D06"/>
    <w:rsid w:val="28EB6ABD"/>
    <w:rsid w:val="28FC6D0B"/>
    <w:rsid w:val="293A6C90"/>
    <w:rsid w:val="299D22FC"/>
    <w:rsid w:val="2A2D28C6"/>
    <w:rsid w:val="2A2F0BB3"/>
    <w:rsid w:val="2A5155D7"/>
    <w:rsid w:val="2A6644C8"/>
    <w:rsid w:val="2A687A7F"/>
    <w:rsid w:val="2A7369D6"/>
    <w:rsid w:val="2A9A16A2"/>
    <w:rsid w:val="2A9F465F"/>
    <w:rsid w:val="2AAD7655"/>
    <w:rsid w:val="2ACD2608"/>
    <w:rsid w:val="2AD64544"/>
    <w:rsid w:val="2AE543F9"/>
    <w:rsid w:val="2AE65EA5"/>
    <w:rsid w:val="2AEB66FD"/>
    <w:rsid w:val="2AF2401A"/>
    <w:rsid w:val="2B090223"/>
    <w:rsid w:val="2B1F0711"/>
    <w:rsid w:val="2B2940AF"/>
    <w:rsid w:val="2B396387"/>
    <w:rsid w:val="2B48595D"/>
    <w:rsid w:val="2B5B176B"/>
    <w:rsid w:val="2BB32F14"/>
    <w:rsid w:val="2BD9714F"/>
    <w:rsid w:val="2C081238"/>
    <w:rsid w:val="2C593441"/>
    <w:rsid w:val="2C5F40B2"/>
    <w:rsid w:val="2C66379F"/>
    <w:rsid w:val="2C72151E"/>
    <w:rsid w:val="2CAC7E45"/>
    <w:rsid w:val="2CBD5ACB"/>
    <w:rsid w:val="2CCA7B60"/>
    <w:rsid w:val="2CE94716"/>
    <w:rsid w:val="2D623630"/>
    <w:rsid w:val="2D6F6348"/>
    <w:rsid w:val="2D7D6AED"/>
    <w:rsid w:val="2DA65970"/>
    <w:rsid w:val="2DBA17F4"/>
    <w:rsid w:val="2E2019DD"/>
    <w:rsid w:val="2E4E4526"/>
    <w:rsid w:val="2E85117F"/>
    <w:rsid w:val="2EB00C07"/>
    <w:rsid w:val="2EB2353A"/>
    <w:rsid w:val="2EB97B74"/>
    <w:rsid w:val="2ECA2236"/>
    <w:rsid w:val="2EDE2654"/>
    <w:rsid w:val="2EE01423"/>
    <w:rsid w:val="2EF06A63"/>
    <w:rsid w:val="2F0F2353"/>
    <w:rsid w:val="2F2B397A"/>
    <w:rsid w:val="2F4B1DA3"/>
    <w:rsid w:val="2F4E79F8"/>
    <w:rsid w:val="2F527261"/>
    <w:rsid w:val="2F5C13FA"/>
    <w:rsid w:val="2F715514"/>
    <w:rsid w:val="2FA212A8"/>
    <w:rsid w:val="2FAD2FD6"/>
    <w:rsid w:val="2FE27F2D"/>
    <w:rsid w:val="2FE7510D"/>
    <w:rsid w:val="2FFD137E"/>
    <w:rsid w:val="301724D3"/>
    <w:rsid w:val="30247E30"/>
    <w:rsid w:val="30314ED7"/>
    <w:rsid w:val="304E4488"/>
    <w:rsid w:val="307C26AE"/>
    <w:rsid w:val="308048CB"/>
    <w:rsid w:val="30BF41B0"/>
    <w:rsid w:val="30DC40D4"/>
    <w:rsid w:val="30FB1A90"/>
    <w:rsid w:val="31100FB2"/>
    <w:rsid w:val="31550F8B"/>
    <w:rsid w:val="316B57D5"/>
    <w:rsid w:val="316C7CF7"/>
    <w:rsid w:val="31726A41"/>
    <w:rsid w:val="318E623A"/>
    <w:rsid w:val="31997EC1"/>
    <w:rsid w:val="31AC1035"/>
    <w:rsid w:val="31B51427"/>
    <w:rsid w:val="31C0306F"/>
    <w:rsid w:val="31C41F65"/>
    <w:rsid w:val="32837775"/>
    <w:rsid w:val="328A33A7"/>
    <w:rsid w:val="32926F86"/>
    <w:rsid w:val="32E51AF8"/>
    <w:rsid w:val="32EB76A2"/>
    <w:rsid w:val="32EE5AA1"/>
    <w:rsid w:val="32F02D02"/>
    <w:rsid w:val="33422E86"/>
    <w:rsid w:val="33695771"/>
    <w:rsid w:val="337458C7"/>
    <w:rsid w:val="33990856"/>
    <w:rsid w:val="33A2019F"/>
    <w:rsid w:val="33EA11E3"/>
    <w:rsid w:val="33FE2A0E"/>
    <w:rsid w:val="34052EA7"/>
    <w:rsid w:val="344D2F7C"/>
    <w:rsid w:val="34821113"/>
    <w:rsid w:val="34957B0E"/>
    <w:rsid w:val="34AB53E8"/>
    <w:rsid w:val="34B74CE1"/>
    <w:rsid w:val="34EB603B"/>
    <w:rsid w:val="35062C56"/>
    <w:rsid w:val="35195EFC"/>
    <w:rsid w:val="355C1C3D"/>
    <w:rsid w:val="35654BC5"/>
    <w:rsid w:val="35AF16E4"/>
    <w:rsid w:val="35BA1A02"/>
    <w:rsid w:val="35BD29BB"/>
    <w:rsid w:val="35C514E4"/>
    <w:rsid w:val="35DD2CE1"/>
    <w:rsid w:val="35E5198C"/>
    <w:rsid w:val="360E4221"/>
    <w:rsid w:val="36241A4A"/>
    <w:rsid w:val="362A1C4C"/>
    <w:rsid w:val="36436253"/>
    <w:rsid w:val="365423D1"/>
    <w:rsid w:val="365D27CB"/>
    <w:rsid w:val="36773A39"/>
    <w:rsid w:val="36892C3B"/>
    <w:rsid w:val="36B64676"/>
    <w:rsid w:val="36CE0206"/>
    <w:rsid w:val="36D51B30"/>
    <w:rsid w:val="36EE2FCF"/>
    <w:rsid w:val="371937BD"/>
    <w:rsid w:val="375816F7"/>
    <w:rsid w:val="375B793A"/>
    <w:rsid w:val="375E4FBE"/>
    <w:rsid w:val="37745C76"/>
    <w:rsid w:val="3784243C"/>
    <w:rsid w:val="37995D0A"/>
    <w:rsid w:val="37D16D38"/>
    <w:rsid w:val="37D5760D"/>
    <w:rsid w:val="37F83819"/>
    <w:rsid w:val="37FE6E5C"/>
    <w:rsid w:val="381E3A2B"/>
    <w:rsid w:val="38322286"/>
    <w:rsid w:val="38350703"/>
    <w:rsid w:val="383659E4"/>
    <w:rsid w:val="38601DE9"/>
    <w:rsid w:val="387D0FE6"/>
    <w:rsid w:val="38851D1E"/>
    <w:rsid w:val="38970CDB"/>
    <w:rsid w:val="38976019"/>
    <w:rsid w:val="389C591B"/>
    <w:rsid w:val="38A72F71"/>
    <w:rsid w:val="38CE5267"/>
    <w:rsid w:val="39133EA9"/>
    <w:rsid w:val="391A3356"/>
    <w:rsid w:val="39245B93"/>
    <w:rsid w:val="392C7BC7"/>
    <w:rsid w:val="39314892"/>
    <w:rsid w:val="393D0E6F"/>
    <w:rsid w:val="395E1C37"/>
    <w:rsid w:val="39681DDC"/>
    <w:rsid w:val="39772C95"/>
    <w:rsid w:val="398E1556"/>
    <w:rsid w:val="39B35D2C"/>
    <w:rsid w:val="39C30A00"/>
    <w:rsid w:val="39EE3BD9"/>
    <w:rsid w:val="3A000B68"/>
    <w:rsid w:val="3A1E70DD"/>
    <w:rsid w:val="3A5E5A07"/>
    <w:rsid w:val="3A6C36E7"/>
    <w:rsid w:val="3A766042"/>
    <w:rsid w:val="3A9F5C4A"/>
    <w:rsid w:val="3AB54C08"/>
    <w:rsid w:val="3AC525E1"/>
    <w:rsid w:val="3AD34412"/>
    <w:rsid w:val="3AEB785F"/>
    <w:rsid w:val="3AF64822"/>
    <w:rsid w:val="3AFB5FCF"/>
    <w:rsid w:val="3B2C063C"/>
    <w:rsid w:val="3B4171AF"/>
    <w:rsid w:val="3B4E0419"/>
    <w:rsid w:val="3B520F2B"/>
    <w:rsid w:val="3B5D6747"/>
    <w:rsid w:val="3B6536E9"/>
    <w:rsid w:val="3B751344"/>
    <w:rsid w:val="3B7B10AE"/>
    <w:rsid w:val="3BB01465"/>
    <w:rsid w:val="3BBC418B"/>
    <w:rsid w:val="3BDF2187"/>
    <w:rsid w:val="3BEF6942"/>
    <w:rsid w:val="3BF132DD"/>
    <w:rsid w:val="3C45656A"/>
    <w:rsid w:val="3C804645"/>
    <w:rsid w:val="3C8444CD"/>
    <w:rsid w:val="3CE9169D"/>
    <w:rsid w:val="3D0E3319"/>
    <w:rsid w:val="3D166C3C"/>
    <w:rsid w:val="3D34161C"/>
    <w:rsid w:val="3D3E1C78"/>
    <w:rsid w:val="3D5874F6"/>
    <w:rsid w:val="3D7153FD"/>
    <w:rsid w:val="3D8170E0"/>
    <w:rsid w:val="3DEA4342"/>
    <w:rsid w:val="3E116A5D"/>
    <w:rsid w:val="3E1F7006"/>
    <w:rsid w:val="3E253B68"/>
    <w:rsid w:val="3E447E6F"/>
    <w:rsid w:val="3E4E50CA"/>
    <w:rsid w:val="3E6B3A34"/>
    <w:rsid w:val="3E9C6CA5"/>
    <w:rsid w:val="3EA83983"/>
    <w:rsid w:val="3EAF12F3"/>
    <w:rsid w:val="3EBA137C"/>
    <w:rsid w:val="3EC31D20"/>
    <w:rsid w:val="3EC41C74"/>
    <w:rsid w:val="3EE92E03"/>
    <w:rsid w:val="3EFF2506"/>
    <w:rsid w:val="3F0549A5"/>
    <w:rsid w:val="3F132E7B"/>
    <w:rsid w:val="3FC25315"/>
    <w:rsid w:val="3FC2557B"/>
    <w:rsid w:val="3FC54B56"/>
    <w:rsid w:val="3FDB2782"/>
    <w:rsid w:val="3FDE5184"/>
    <w:rsid w:val="3FE57F0A"/>
    <w:rsid w:val="3FF967B4"/>
    <w:rsid w:val="401E457D"/>
    <w:rsid w:val="401E663A"/>
    <w:rsid w:val="40287EC6"/>
    <w:rsid w:val="4056775A"/>
    <w:rsid w:val="40A447F3"/>
    <w:rsid w:val="40AB46A9"/>
    <w:rsid w:val="40B3255B"/>
    <w:rsid w:val="40D875C7"/>
    <w:rsid w:val="40F204D2"/>
    <w:rsid w:val="40FE4E79"/>
    <w:rsid w:val="410E3E2D"/>
    <w:rsid w:val="415232A6"/>
    <w:rsid w:val="4175655C"/>
    <w:rsid w:val="419F1058"/>
    <w:rsid w:val="419F6601"/>
    <w:rsid w:val="41BD2CD3"/>
    <w:rsid w:val="41D7254D"/>
    <w:rsid w:val="41D87ACC"/>
    <w:rsid w:val="41E42A87"/>
    <w:rsid w:val="41E82291"/>
    <w:rsid w:val="420B6B66"/>
    <w:rsid w:val="42143B89"/>
    <w:rsid w:val="42171826"/>
    <w:rsid w:val="425F51B8"/>
    <w:rsid w:val="4285455F"/>
    <w:rsid w:val="42977DFB"/>
    <w:rsid w:val="42B1702B"/>
    <w:rsid w:val="42CD2AF1"/>
    <w:rsid w:val="42D32A78"/>
    <w:rsid w:val="42F47E1F"/>
    <w:rsid w:val="430B35F2"/>
    <w:rsid w:val="431F352A"/>
    <w:rsid w:val="435C0651"/>
    <w:rsid w:val="435C361B"/>
    <w:rsid w:val="436B358D"/>
    <w:rsid w:val="437074DE"/>
    <w:rsid w:val="43845FF7"/>
    <w:rsid w:val="43930692"/>
    <w:rsid w:val="439A63A2"/>
    <w:rsid w:val="43AA66B3"/>
    <w:rsid w:val="43B61E4B"/>
    <w:rsid w:val="43E24706"/>
    <w:rsid w:val="43FA36F8"/>
    <w:rsid w:val="4416154D"/>
    <w:rsid w:val="441A1995"/>
    <w:rsid w:val="44261F88"/>
    <w:rsid w:val="444E4A37"/>
    <w:rsid w:val="447F72AD"/>
    <w:rsid w:val="44A2737A"/>
    <w:rsid w:val="44C4437D"/>
    <w:rsid w:val="45150432"/>
    <w:rsid w:val="45155230"/>
    <w:rsid w:val="455D3401"/>
    <w:rsid w:val="457542B7"/>
    <w:rsid w:val="459C3894"/>
    <w:rsid w:val="45A96B84"/>
    <w:rsid w:val="45BE218A"/>
    <w:rsid w:val="45D3694A"/>
    <w:rsid w:val="45F113A7"/>
    <w:rsid w:val="461F2964"/>
    <w:rsid w:val="463B7DD3"/>
    <w:rsid w:val="46507F06"/>
    <w:rsid w:val="465A1639"/>
    <w:rsid w:val="466851A3"/>
    <w:rsid w:val="46761E14"/>
    <w:rsid w:val="46954948"/>
    <w:rsid w:val="46A44A4F"/>
    <w:rsid w:val="46CB7C36"/>
    <w:rsid w:val="46ED221C"/>
    <w:rsid w:val="46F74FC7"/>
    <w:rsid w:val="46FE4109"/>
    <w:rsid w:val="47316FCA"/>
    <w:rsid w:val="4748502A"/>
    <w:rsid w:val="474B573D"/>
    <w:rsid w:val="47731901"/>
    <w:rsid w:val="478C7FE1"/>
    <w:rsid w:val="47995E11"/>
    <w:rsid w:val="47AA0E73"/>
    <w:rsid w:val="47D25194"/>
    <w:rsid w:val="47E11004"/>
    <w:rsid w:val="47E63E7F"/>
    <w:rsid w:val="47E756A9"/>
    <w:rsid w:val="47E871FF"/>
    <w:rsid w:val="47F22397"/>
    <w:rsid w:val="47FF69F5"/>
    <w:rsid w:val="4813564F"/>
    <w:rsid w:val="482817B8"/>
    <w:rsid w:val="485E20AE"/>
    <w:rsid w:val="486E3782"/>
    <w:rsid w:val="48772ECD"/>
    <w:rsid w:val="48933AF8"/>
    <w:rsid w:val="48A827E6"/>
    <w:rsid w:val="490C114B"/>
    <w:rsid w:val="490D27AA"/>
    <w:rsid w:val="492E1D53"/>
    <w:rsid w:val="49421745"/>
    <w:rsid w:val="494262B6"/>
    <w:rsid w:val="496429E7"/>
    <w:rsid w:val="49706FEC"/>
    <w:rsid w:val="499F2756"/>
    <w:rsid w:val="499F3A95"/>
    <w:rsid w:val="49A04536"/>
    <w:rsid w:val="49B3209E"/>
    <w:rsid w:val="49C01435"/>
    <w:rsid w:val="49C077A3"/>
    <w:rsid w:val="49E51C03"/>
    <w:rsid w:val="4A21112F"/>
    <w:rsid w:val="4A5A4BCB"/>
    <w:rsid w:val="4A8E4493"/>
    <w:rsid w:val="4A981AF9"/>
    <w:rsid w:val="4A9E1A79"/>
    <w:rsid w:val="4AAB082C"/>
    <w:rsid w:val="4AAC645C"/>
    <w:rsid w:val="4ACA4164"/>
    <w:rsid w:val="4AF072B2"/>
    <w:rsid w:val="4AF37977"/>
    <w:rsid w:val="4B203B22"/>
    <w:rsid w:val="4B2E65BC"/>
    <w:rsid w:val="4B471FBA"/>
    <w:rsid w:val="4B5155BA"/>
    <w:rsid w:val="4B576E93"/>
    <w:rsid w:val="4B693460"/>
    <w:rsid w:val="4BA323F7"/>
    <w:rsid w:val="4BB865F1"/>
    <w:rsid w:val="4BF70D8E"/>
    <w:rsid w:val="4BFC64CD"/>
    <w:rsid w:val="4C2C5943"/>
    <w:rsid w:val="4C376C3B"/>
    <w:rsid w:val="4C4C0594"/>
    <w:rsid w:val="4C780D57"/>
    <w:rsid w:val="4C7A57EA"/>
    <w:rsid w:val="4CCC0FC7"/>
    <w:rsid w:val="4CCE5FFD"/>
    <w:rsid w:val="4D030291"/>
    <w:rsid w:val="4D18274F"/>
    <w:rsid w:val="4D1B3F96"/>
    <w:rsid w:val="4D1D7CF2"/>
    <w:rsid w:val="4D1F4C26"/>
    <w:rsid w:val="4D340628"/>
    <w:rsid w:val="4D580AE0"/>
    <w:rsid w:val="4D720B7D"/>
    <w:rsid w:val="4D76593B"/>
    <w:rsid w:val="4D9E1F8C"/>
    <w:rsid w:val="4DA13E52"/>
    <w:rsid w:val="4DC835E2"/>
    <w:rsid w:val="4DCE3C37"/>
    <w:rsid w:val="4DF17686"/>
    <w:rsid w:val="4E0A3A24"/>
    <w:rsid w:val="4E29346C"/>
    <w:rsid w:val="4E3F282F"/>
    <w:rsid w:val="4E45146C"/>
    <w:rsid w:val="4E4F0E7D"/>
    <w:rsid w:val="4E592899"/>
    <w:rsid w:val="4E59315F"/>
    <w:rsid w:val="4E5D5C89"/>
    <w:rsid w:val="4EB60041"/>
    <w:rsid w:val="4EFD323A"/>
    <w:rsid w:val="4F14177E"/>
    <w:rsid w:val="4F217AC7"/>
    <w:rsid w:val="4F4B3DB4"/>
    <w:rsid w:val="4F502BC7"/>
    <w:rsid w:val="4F571439"/>
    <w:rsid w:val="4F583850"/>
    <w:rsid w:val="4F590EF7"/>
    <w:rsid w:val="4F6101E5"/>
    <w:rsid w:val="4F703AD7"/>
    <w:rsid w:val="4F7157DC"/>
    <w:rsid w:val="4F893F1A"/>
    <w:rsid w:val="4FB05A6A"/>
    <w:rsid w:val="4FC2497E"/>
    <w:rsid w:val="50014D7E"/>
    <w:rsid w:val="50035AEA"/>
    <w:rsid w:val="50213193"/>
    <w:rsid w:val="502A2779"/>
    <w:rsid w:val="503049F6"/>
    <w:rsid w:val="506A0AE0"/>
    <w:rsid w:val="507869B0"/>
    <w:rsid w:val="50D64AB6"/>
    <w:rsid w:val="50E02702"/>
    <w:rsid w:val="50FE0A1C"/>
    <w:rsid w:val="511F6C8E"/>
    <w:rsid w:val="51442DEB"/>
    <w:rsid w:val="51623D78"/>
    <w:rsid w:val="517A2D21"/>
    <w:rsid w:val="51930D58"/>
    <w:rsid w:val="51C63F70"/>
    <w:rsid w:val="51DA48DC"/>
    <w:rsid w:val="51E42F1F"/>
    <w:rsid w:val="52171E59"/>
    <w:rsid w:val="52346F51"/>
    <w:rsid w:val="52702051"/>
    <w:rsid w:val="527312AE"/>
    <w:rsid w:val="527B1D03"/>
    <w:rsid w:val="527F58AE"/>
    <w:rsid w:val="52A86D03"/>
    <w:rsid w:val="52B13A52"/>
    <w:rsid w:val="52C165A1"/>
    <w:rsid w:val="52C437DA"/>
    <w:rsid w:val="52CA5EA0"/>
    <w:rsid w:val="52F240D5"/>
    <w:rsid w:val="53094FFB"/>
    <w:rsid w:val="530D6147"/>
    <w:rsid w:val="53565A26"/>
    <w:rsid w:val="53751C56"/>
    <w:rsid w:val="53911552"/>
    <w:rsid w:val="53932F37"/>
    <w:rsid w:val="53AA527E"/>
    <w:rsid w:val="53CF7616"/>
    <w:rsid w:val="53E905F6"/>
    <w:rsid w:val="54046BC7"/>
    <w:rsid w:val="543969DD"/>
    <w:rsid w:val="54417CB0"/>
    <w:rsid w:val="547D2B36"/>
    <w:rsid w:val="547D5F5D"/>
    <w:rsid w:val="54B134C4"/>
    <w:rsid w:val="54F950D5"/>
    <w:rsid w:val="54FF752C"/>
    <w:rsid w:val="55021C80"/>
    <w:rsid w:val="550E6ADD"/>
    <w:rsid w:val="559742BE"/>
    <w:rsid w:val="55A87F57"/>
    <w:rsid w:val="55B01394"/>
    <w:rsid w:val="55DB6F5D"/>
    <w:rsid w:val="55DF4E7B"/>
    <w:rsid w:val="56827104"/>
    <w:rsid w:val="56995731"/>
    <w:rsid w:val="56A87916"/>
    <w:rsid w:val="56B5324E"/>
    <w:rsid w:val="56BD0960"/>
    <w:rsid w:val="56D37C37"/>
    <w:rsid w:val="56D8744A"/>
    <w:rsid w:val="56DE4962"/>
    <w:rsid w:val="56FA5C38"/>
    <w:rsid w:val="57450F14"/>
    <w:rsid w:val="5746290D"/>
    <w:rsid w:val="575247F3"/>
    <w:rsid w:val="57620D52"/>
    <w:rsid w:val="57661D9C"/>
    <w:rsid w:val="57667160"/>
    <w:rsid w:val="576F35CA"/>
    <w:rsid w:val="577A67A3"/>
    <w:rsid w:val="57856526"/>
    <w:rsid w:val="579B0E77"/>
    <w:rsid w:val="57CD56D3"/>
    <w:rsid w:val="57D55652"/>
    <w:rsid w:val="57DB2F94"/>
    <w:rsid w:val="5825265A"/>
    <w:rsid w:val="584906EB"/>
    <w:rsid w:val="584B4224"/>
    <w:rsid w:val="58796F71"/>
    <w:rsid w:val="58A44829"/>
    <w:rsid w:val="58A65A6C"/>
    <w:rsid w:val="58B42766"/>
    <w:rsid w:val="58C32089"/>
    <w:rsid w:val="58D243E8"/>
    <w:rsid w:val="591A4575"/>
    <w:rsid w:val="592225C8"/>
    <w:rsid w:val="59341343"/>
    <w:rsid w:val="593F06DA"/>
    <w:rsid w:val="596537F0"/>
    <w:rsid w:val="599523E6"/>
    <w:rsid w:val="59C33F82"/>
    <w:rsid w:val="59E71787"/>
    <w:rsid w:val="59F7269F"/>
    <w:rsid w:val="59F956B5"/>
    <w:rsid w:val="5A1C4700"/>
    <w:rsid w:val="5A22635D"/>
    <w:rsid w:val="5A2540DC"/>
    <w:rsid w:val="5A27277F"/>
    <w:rsid w:val="5A362BC6"/>
    <w:rsid w:val="5A3D4E80"/>
    <w:rsid w:val="5A686F12"/>
    <w:rsid w:val="5AA64135"/>
    <w:rsid w:val="5ABA0A65"/>
    <w:rsid w:val="5ABA78B1"/>
    <w:rsid w:val="5AC055A2"/>
    <w:rsid w:val="5AD95D08"/>
    <w:rsid w:val="5ADE2C0F"/>
    <w:rsid w:val="5AFC05DB"/>
    <w:rsid w:val="5B05054C"/>
    <w:rsid w:val="5B130052"/>
    <w:rsid w:val="5B1529D0"/>
    <w:rsid w:val="5B2333B8"/>
    <w:rsid w:val="5B4148A8"/>
    <w:rsid w:val="5B7A5FD6"/>
    <w:rsid w:val="5BB97872"/>
    <w:rsid w:val="5BD648BA"/>
    <w:rsid w:val="5C2F7C75"/>
    <w:rsid w:val="5C61430F"/>
    <w:rsid w:val="5C766301"/>
    <w:rsid w:val="5C7A7349"/>
    <w:rsid w:val="5C85381F"/>
    <w:rsid w:val="5CA767C7"/>
    <w:rsid w:val="5CC37E86"/>
    <w:rsid w:val="5CDF1DCC"/>
    <w:rsid w:val="5CF879B4"/>
    <w:rsid w:val="5D062BE2"/>
    <w:rsid w:val="5D0C2837"/>
    <w:rsid w:val="5D103FAB"/>
    <w:rsid w:val="5D2F2B39"/>
    <w:rsid w:val="5D3A155A"/>
    <w:rsid w:val="5D887F1F"/>
    <w:rsid w:val="5DAB6E58"/>
    <w:rsid w:val="5DD014D5"/>
    <w:rsid w:val="5DFA7EEF"/>
    <w:rsid w:val="5E1414F1"/>
    <w:rsid w:val="5E202EA2"/>
    <w:rsid w:val="5E2F090A"/>
    <w:rsid w:val="5E46555C"/>
    <w:rsid w:val="5E681B39"/>
    <w:rsid w:val="5E6D4ECE"/>
    <w:rsid w:val="5EAE49EB"/>
    <w:rsid w:val="5EB23AC1"/>
    <w:rsid w:val="5ED80352"/>
    <w:rsid w:val="5EE329CB"/>
    <w:rsid w:val="5F1A03DF"/>
    <w:rsid w:val="5F1D3319"/>
    <w:rsid w:val="5F2A77F1"/>
    <w:rsid w:val="5F421F02"/>
    <w:rsid w:val="5F5D65A0"/>
    <w:rsid w:val="5F692382"/>
    <w:rsid w:val="5F6A028E"/>
    <w:rsid w:val="5F6A199C"/>
    <w:rsid w:val="5FAA22BB"/>
    <w:rsid w:val="5FAB6CBF"/>
    <w:rsid w:val="5FC45318"/>
    <w:rsid w:val="5FDD0BC5"/>
    <w:rsid w:val="60060BF4"/>
    <w:rsid w:val="60204B3B"/>
    <w:rsid w:val="604672BB"/>
    <w:rsid w:val="60561788"/>
    <w:rsid w:val="605E308A"/>
    <w:rsid w:val="60643A8D"/>
    <w:rsid w:val="6067170D"/>
    <w:rsid w:val="607507B1"/>
    <w:rsid w:val="608B235B"/>
    <w:rsid w:val="60BB578A"/>
    <w:rsid w:val="60CB4236"/>
    <w:rsid w:val="60E00228"/>
    <w:rsid w:val="60F46F77"/>
    <w:rsid w:val="60F744DC"/>
    <w:rsid w:val="61176C7C"/>
    <w:rsid w:val="612011D9"/>
    <w:rsid w:val="61220AED"/>
    <w:rsid w:val="612D3DCB"/>
    <w:rsid w:val="61583940"/>
    <w:rsid w:val="615A7BCD"/>
    <w:rsid w:val="61757CF0"/>
    <w:rsid w:val="617A5E49"/>
    <w:rsid w:val="617E3E2E"/>
    <w:rsid w:val="618B4F60"/>
    <w:rsid w:val="61C357DE"/>
    <w:rsid w:val="621535ED"/>
    <w:rsid w:val="622B4733"/>
    <w:rsid w:val="624E3054"/>
    <w:rsid w:val="62606654"/>
    <w:rsid w:val="627012E0"/>
    <w:rsid w:val="627C109C"/>
    <w:rsid w:val="62895E84"/>
    <w:rsid w:val="629463A4"/>
    <w:rsid w:val="62C6216F"/>
    <w:rsid w:val="62CD3EB8"/>
    <w:rsid w:val="62D12D77"/>
    <w:rsid w:val="62D87656"/>
    <w:rsid w:val="62EA5100"/>
    <w:rsid w:val="63244C4C"/>
    <w:rsid w:val="63245592"/>
    <w:rsid w:val="63496127"/>
    <w:rsid w:val="6358644D"/>
    <w:rsid w:val="63860F85"/>
    <w:rsid w:val="638B1AD8"/>
    <w:rsid w:val="639B5946"/>
    <w:rsid w:val="63A126B6"/>
    <w:rsid w:val="63C25823"/>
    <w:rsid w:val="63ED664A"/>
    <w:rsid w:val="63EE066C"/>
    <w:rsid w:val="64017353"/>
    <w:rsid w:val="641216CA"/>
    <w:rsid w:val="644E0E43"/>
    <w:rsid w:val="645B4D3C"/>
    <w:rsid w:val="6462055C"/>
    <w:rsid w:val="649C3803"/>
    <w:rsid w:val="64B74B2A"/>
    <w:rsid w:val="64BC4498"/>
    <w:rsid w:val="64C42DEE"/>
    <w:rsid w:val="64C43B60"/>
    <w:rsid w:val="64C61192"/>
    <w:rsid w:val="64FD0176"/>
    <w:rsid w:val="64FE0461"/>
    <w:rsid w:val="64FE2EF1"/>
    <w:rsid w:val="65162B70"/>
    <w:rsid w:val="65304200"/>
    <w:rsid w:val="6574272A"/>
    <w:rsid w:val="65784DBF"/>
    <w:rsid w:val="6589473C"/>
    <w:rsid w:val="659B13A4"/>
    <w:rsid w:val="65A21CF0"/>
    <w:rsid w:val="65C1147D"/>
    <w:rsid w:val="65D06051"/>
    <w:rsid w:val="65D90C65"/>
    <w:rsid w:val="65DD2AC5"/>
    <w:rsid w:val="65E06439"/>
    <w:rsid w:val="65EC499E"/>
    <w:rsid w:val="65F77216"/>
    <w:rsid w:val="66222A9A"/>
    <w:rsid w:val="66367368"/>
    <w:rsid w:val="663E6867"/>
    <w:rsid w:val="66416A29"/>
    <w:rsid w:val="66695BB0"/>
    <w:rsid w:val="6676109F"/>
    <w:rsid w:val="669404F1"/>
    <w:rsid w:val="66A75214"/>
    <w:rsid w:val="66B159FF"/>
    <w:rsid w:val="66BB25C1"/>
    <w:rsid w:val="66D30F66"/>
    <w:rsid w:val="66E655DA"/>
    <w:rsid w:val="670A130F"/>
    <w:rsid w:val="67247301"/>
    <w:rsid w:val="67356743"/>
    <w:rsid w:val="67366C79"/>
    <w:rsid w:val="673B5B02"/>
    <w:rsid w:val="675701F5"/>
    <w:rsid w:val="677255AA"/>
    <w:rsid w:val="677720AC"/>
    <w:rsid w:val="677C564D"/>
    <w:rsid w:val="67926409"/>
    <w:rsid w:val="679906AC"/>
    <w:rsid w:val="67A831EB"/>
    <w:rsid w:val="67AC12D8"/>
    <w:rsid w:val="67BC78F5"/>
    <w:rsid w:val="67C1127B"/>
    <w:rsid w:val="67C30EDB"/>
    <w:rsid w:val="67D65A6A"/>
    <w:rsid w:val="67DD0849"/>
    <w:rsid w:val="67DE0D79"/>
    <w:rsid w:val="67E148AA"/>
    <w:rsid w:val="67E87864"/>
    <w:rsid w:val="681603E3"/>
    <w:rsid w:val="682840DC"/>
    <w:rsid w:val="682C1270"/>
    <w:rsid w:val="6879359C"/>
    <w:rsid w:val="68B10145"/>
    <w:rsid w:val="68CA6691"/>
    <w:rsid w:val="68DB15C8"/>
    <w:rsid w:val="68EC0648"/>
    <w:rsid w:val="68F77465"/>
    <w:rsid w:val="6923740B"/>
    <w:rsid w:val="69446973"/>
    <w:rsid w:val="697B3461"/>
    <w:rsid w:val="69A32796"/>
    <w:rsid w:val="69AA43DD"/>
    <w:rsid w:val="69DB4E22"/>
    <w:rsid w:val="69DB7BFA"/>
    <w:rsid w:val="69E1295E"/>
    <w:rsid w:val="6A0B2312"/>
    <w:rsid w:val="6A251AA7"/>
    <w:rsid w:val="6A5D34BC"/>
    <w:rsid w:val="6A6F53EF"/>
    <w:rsid w:val="6A724856"/>
    <w:rsid w:val="6A7D037C"/>
    <w:rsid w:val="6AB67EE6"/>
    <w:rsid w:val="6AB759A4"/>
    <w:rsid w:val="6AC81E70"/>
    <w:rsid w:val="6ACF3FB6"/>
    <w:rsid w:val="6AD353C3"/>
    <w:rsid w:val="6B470CA7"/>
    <w:rsid w:val="6B4E6C98"/>
    <w:rsid w:val="6B5C1E5E"/>
    <w:rsid w:val="6B5C3DF8"/>
    <w:rsid w:val="6B925105"/>
    <w:rsid w:val="6BEF225A"/>
    <w:rsid w:val="6BFA0DB4"/>
    <w:rsid w:val="6C0B2012"/>
    <w:rsid w:val="6C1E1193"/>
    <w:rsid w:val="6C253BAF"/>
    <w:rsid w:val="6C391EA0"/>
    <w:rsid w:val="6C463BD5"/>
    <w:rsid w:val="6C682510"/>
    <w:rsid w:val="6C7F39C0"/>
    <w:rsid w:val="6C9738D4"/>
    <w:rsid w:val="6C9C671D"/>
    <w:rsid w:val="6CBF214E"/>
    <w:rsid w:val="6CBF563C"/>
    <w:rsid w:val="6CC37B76"/>
    <w:rsid w:val="6D0C51EB"/>
    <w:rsid w:val="6D353BD1"/>
    <w:rsid w:val="6D4960BA"/>
    <w:rsid w:val="6D6E1C71"/>
    <w:rsid w:val="6D862E0F"/>
    <w:rsid w:val="6DBC326D"/>
    <w:rsid w:val="6E274FE3"/>
    <w:rsid w:val="6E4769A4"/>
    <w:rsid w:val="6E79453A"/>
    <w:rsid w:val="6E7D68A8"/>
    <w:rsid w:val="6E8854C7"/>
    <w:rsid w:val="6E8F3EC0"/>
    <w:rsid w:val="6EBF000D"/>
    <w:rsid w:val="6EE413D9"/>
    <w:rsid w:val="6EEB3556"/>
    <w:rsid w:val="6EF72F3C"/>
    <w:rsid w:val="6F001A3F"/>
    <w:rsid w:val="6F061848"/>
    <w:rsid w:val="6F0D4677"/>
    <w:rsid w:val="6F0E1C95"/>
    <w:rsid w:val="6F5978C6"/>
    <w:rsid w:val="6F621CC6"/>
    <w:rsid w:val="6F6A5028"/>
    <w:rsid w:val="6F791064"/>
    <w:rsid w:val="6F83080D"/>
    <w:rsid w:val="6F976304"/>
    <w:rsid w:val="6F9E4AF3"/>
    <w:rsid w:val="6FCB264F"/>
    <w:rsid w:val="6FD32544"/>
    <w:rsid w:val="6FE76274"/>
    <w:rsid w:val="6FEB486B"/>
    <w:rsid w:val="70307EFD"/>
    <w:rsid w:val="703C6CE0"/>
    <w:rsid w:val="70537574"/>
    <w:rsid w:val="7060739C"/>
    <w:rsid w:val="70616CD8"/>
    <w:rsid w:val="706D5198"/>
    <w:rsid w:val="708A0329"/>
    <w:rsid w:val="7091170D"/>
    <w:rsid w:val="70972B84"/>
    <w:rsid w:val="709B03FC"/>
    <w:rsid w:val="70AD7A56"/>
    <w:rsid w:val="70CF4FC3"/>
    <w:rsid w:val="70F25F6D"/>
    <w:rsid w:val="7116368B"/>
    <w:rsid w:val="715B7925"/>
    <w:rsid w:val="71657A4C"/>
    <w:rsid w:val="71680AD4"/>
    <w:rsid w:val="71844226"/>
    <w:rsid w:val="71AD25A5"/>
    <w:rsid w:val="71B95978"/>
    <w:rsid w:val="71E44553"/>
    <w:rsid w:val="720F3121"/>
    <w:rsid w:val="721A7A61"/>
    <w:rsid w:val="723167A3"/>
    <w:rsid w:val="725773A1"/>
    <w:rsid w:val="725A673B"/>
    <w:rsid w:val="727E0822"/>
    <w:rsid w:val="7286399A"/>
    <w:rsid w:val="72873D87"/>
    <w:rsid w:val="72896405"/>
    <w:rsid w:val="72B034A8"/>
    <w:rsid w:val="72C1607B"/>
    <w:rsid w:val="72D440A3"/>
    <w:rsid w:val="72D535A4"/>
    <w:rsid w:val="72EA51B1"/>
    <w:rsid w:val="72EE58C5"/>
    <w:rsid w:val="733B428E"/>
    <w:rsid w:val="733D0358"/>
    <w:rsid w:val="739F1A13"/>
    <w:rsid w:val="73C632C5"/>
    <w:rsid w:val="73C746FF"/>
    <w:rsid w:val="73E815F5"/>
    <w:rsid w:val="74206E4D"/>
    <w:rsid w:val="74277ABE"/>
    <w:rsid w:val="74284C26"/>
    <w:rsid w:val="74312C86"/>
    <w:rsid w:val="745F7BF5"/>
    <w:rsid w:val="748148DD"/>
    <w:rsid w:val="74894F5C"/>
    <w:rsid w:val="749023F4"/>
    <w:rsid w:val="74A2562F"/>
    <w:rsid w:val="74C7295F"/>
    <w:rsid w:val="74CE2DC6"/>
    <w:rsid w:val="74E44F7C"/>
    <w:rsid w:val="74E909F7"/>
    <w:rsid w:val="74F755ED"/>
    <w:rsid w:val="75023836"/>
    <w:rsid w:val="750D78F2"/>
    <w:rsid w:val="7530601C"/>
    <w:rsid w:val="7587699C"/>
    <w:rsid w:val="75A82E76"/>
    <w:rsid w:val="75D35325"/>
    <w:rsid w:val="760A02BF"/>
    <w:rsid w:val="760A1888"/>
    <w:rsid w:val="76221FF8"/>
    <w:rsid w:val="762A7F40"/>
    <w:rsid w:val="76302E9A"/>
    <w:rsid w:val="763318C2"/>
    <w:rsid w:val="765F19B1"/>
    <w:rsid w:val="76862FB5"/>
    <w:rsid w:val="768D59B1"/>
    <w:rsid w:val="769C10B4"/>
    <w:rsid w:val="76AE2E7B"/>
    <w:rsid w:val="76B83463"/>
    <w:rsid w:val="76BD15B8"/>
    <w:rsid w:val="76C82830"/>
    <w:rsid w:val="76FB5BEC"/>
    <w:rsid w:val="770F31EA"/>
    <w:rsid w:val="777210B2"/>
    <w:rsid w:val="77C46520"/>
    <w:rsid w:val="77E50B4F"/>
    <w:rsid w:val="77EE124D"/>
    <w:rsid w:val="7815197C"/>
    <w:rsid w:val="781801ED"/>
    <w:rsid w:val="783B7AA6"/>
    <w:rsid w:val="785020F5"/>
    <w:rsid w:val="78885236"/>
    <w:rsid w:val="78C36064"/>
    <w:rsid w:val="78CF78FA"/>
    <w:rsid w:val="78D462DE"/>
    <w:rsid w:val="78EC792E"/>
    <w:rsid w:val="79411E86"/>
    <w:rsid w:val="796A27E7"/>
    <w:rsid w:val="796F1014"/>
    <w:rsid w:val="79920730"/>
    <w:rsid w:val="799B2BFF"/>
    <w:rsid w:val="799D2EF2"/>
    <w:rsid w:val="79CC4E0B"/>
    <w:rsid w:val="79FF22AD"/>
    <w:rsid w:val="7A56418A"/>
    <w:rsid w:val="7A6E2A51"/>
    <w:rsid w:val="7A6F3718"/>
    <w:rsid w:val="7A870F9D"/>
    <w:rsid w:val="7A8F548E"/>
    <w:rsid w:val="7A8F704D"/>
    <w:rsid w:val="7A9C0DAA"/>
    <w:rsid w:val="7A9F7CFA"/>
    <w:rsid w:val="7AB5688C"/>
    <w:rsid w:val="7ABB332C"/>
    <w:rsid w:val="7ABB5625"/>
    <w:rsid w:val="7AC770E9"/>
    <w:rsid w:val="7B0B74D6"/>
    <w:rsid w:val="7B1A6EA8"/>
    <w:rsid w:val="7B290E0C"/>
    <w:rsid w:val="7B326766"/>
    <w:rsid w:val="7B9854AD"/>
    <w:rsid w:val="7BCE1E6D"/>
    <w:rsid w:val="7BD70A4B"/>
    <w:rsid w:val="7BFC067A"/>
    <w:rsid w:val="7C1E01ED"/>
    <w:rsid w:val="7C272DCD"/>
    <w:rsid w:val="7C3D4359"/>
    <w:rsid w:val="7C5971E6"/>
    <w:rsid w:val="7C736B97"/>
    <w:rsid w:val="7C8B727E"/>
    <w:rsid w:val="7C950477"/>
    <w:rsid w:val="7CCD3D0A"/>
    <w:rsid w:val="7CD243A3"/>
    <w:rsid w:val="7CEA1DD4"/>
    <w:rsid w:val="7D3F000D"/>
    <w:rsid w:val="7D411CAB"/>
    <w:rsid w:val="7D7B65A7"/>
    <w:rsid w:val="7DAF236C"/>
    <w:rsid w:val="7DB6368A"/>
    <w:rsid w:val="7DC7099E"/>
    <w:rsid w:val="7DC94260"/>
    <w:rsid w:val="7DF43206"/>
    <w:rsid w:val="7E004872"/>
    <w:rsid w:val="7E1D17FA"/>
    <w:rsid w:val="7E1D6FDA"/>
    <w:rsid w:val="7E29615A"/>
    <w:rsid w:val="7E2D4BBA"/>
    <w:rsid w:val="7E2E3814"/>
    <w:rsid w:val="7E4803A2"/>
    <w:rsid w:val="7E481D2A"/>
    <w:rsid w:val="7E6F6DAA"/>
    <w:rsid w:val="7E8D0256"/>
    <w:rsid w:val="7E956ED3"/>
    <w:rsid w:val="7EBD10CE"/>
    <w:rsid w:val="7ED647C6"/>
    <w:rsid w:val="7F01339A"/>
    <w:rsid w:val="7F2344F4"/>
    <w:rsid w:val="7F2A3EF9"/>
    <w:rsid w:val="7F801926"/>
    <w:rsid w:val="7F8313EB"/>
    <w:rsid w:val="7FBE6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0"/>
    <w:pPr>
      <w:keepNext/>
      <w:keepLines/>
      <w:widowControl/>
      <w:spacing w:before="340" w:after="330" w:line="578" w:lineRule="auto"/>
      <w:ind w:firstLine="200" w:firstLineChars="200"/>
      <w:outlineLvl w:val="0"/>
    </w:pPr>
    <w:rPr>
      <w:rFonts w:ascii="Times New Roman" w:hAnsi="Times New Roman" w:eastAsia="宋体" w:cs="Times New Roman"/>
      <w:b/>
      <w:bCs/>
      <w:kern w:val="44"/>
      <w:sz w:val="44"/>
      <w:szCs w:val="44"/>
    </w:rPr>
  </w:style>
  <w:style w:type="paragraph" w:styleId="4">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9"/>
    <w:pPr>
      <w:keepNext/>
      <w:keepLines/>
      <w:spacing w:beforeLines="50" w:afterLines="50"/>
      <w:ind w:firstLine="200" w:firstLineChars="200"/>
      <w:jc w:val="left"/>
      <w:outlineLvl w:val="2"/>
    </w:pPr>
    <w:rPr>
      <w:rFonts w:ascii="Times New Roman" w:hAnsi="Times New Roman" w:eastAsia="仿宋_GB2312" w:cs="Times New Roman"/>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1"/>
    <w:pPr>
      <w:autoSpaceDE w:val="0"/>
      <w:autoSpaceDN w:val="0"/>
      <w:adjustRightInd w:val="0"/>
      <w:ind w:left="119"/>
      <w:jc w:val="left"/>
    </w:pPr>
    <w:rPr>
      <w:rFonts w:ascii="宋体" w:hAnsi="Times New Roman" w:eastAsia="宋体" w:cs="宋体"/>
      <w:kern w:val="0"/>
      <w:sz w:val="32"/>
      <w:szCs w:val="32"/>
    </w:rPr>
  </w:style>
  <w:style w:type="paragraph" w:styleId="6">
    <w:name w:val="toc 3"/>
    <w:basedOn w:val="1"/>
    <w:next w:val="1"/>
    <w:unhideWhenUsed/>
    <w:qFormat/>
    <w:uiPriority w:val="39"/>
    <w:pPr>
      <w:widowControl/>
      <w:spacing w:after="100" w:line="276" w:lineRule="auto"/>
      <w:ind w:left="440"/>
      <w:jc w:val="left"/>
    </w:pPr>
    <w:rPr>
      <w:kern w:val="0"/>
      <w:sz w:val="22"/>
    </w:rPr>
  </w:style>
  <w:style w:type="paragraph" w:styleId="7">
    <w:name w:val="Body Text Indent 2"/>
    <w:basedOn w:val="1"/>
    <w:qFormat/>
    <w:uiPriority w:val="99"/>
    <w:pPr>
      <w:spacing w:after="120" w:line="480" w:lineRule="auto"/>
      <w:ind w:left="420" w:leftChars="200"/>
    </w:pPr>
    <w:rPr>
      <w:rFonts w:ascii="Calibri" w:hAnsi="Calibri" w:eastAsia="方正仿宋_GBK"/>
    </w:rPr>
  </w:style>
  <w:style w:type="paragraph" w:styleId="8">
    <w:name w:val="Balloon Text"/>
    <w:basedOn w:val="1"/>
    <w:link w:val="20"/>
    <w:semiHidden/>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Normal (Web)"/>
    <w:basedOn w:val="1"/>
    <w:semiHidden/>
    <w:unhideWhenUsed/>
    <w:qFormat/>
    <w:uiPriority w:val="99"/>
    <w:pPr>
      <w:widowControl/>
      <w:spacing w:beforeAutospacing="1" w:afterAutospacing="1"/>
      <w:ind w:firstLine="200" w:firstLineChars="200"/>
      <w:jc w:val="left"/>
    </w:pPr>
    <w:rPr>
      <w:rFonts w:ascii="Times New Roman" w:hAnsi="Times New Roman" w:eastAsia="宋体" w:cs="Times New Roman"/>
      <w:kern w:val="0"/>
      <w:sz w:val="24"/>
      <w:szCs w:val="24"/>
    </w:rPr>
  </w:style>
  <w:style w:type="table" w:styleId="15">
    <w:name w:val="Table Grid"/>
    <w:basedOn w:val="14"/>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Emphasis"/>
    <w:basedOn w:val="16"/>
    <w:qFormat/>
    <w:uiPriority w:val="20"/>
    <w:rPr>
      <w:i/>
    </w:rPr>
  </w:style>
  <w:style w:type="character" w:styleId="19">
    <w:name w:val="Hyperlink"/>
    <w:basedOn w:val="16"/>
    <w:unhideWhenUsed/>
    <w:qFormat/>
    <w:uiPriority w:val="99"/>
    <w:rPr>
      <w:color w:val="0000FF" w:themeColor="hyperlink"/>
      <w:u w:val="single"/>
      <w14:textFill>
        <w14:solidFill>
          <w14:schemeClr w14:val="hlink"/>
        </w14:solidFill>
      </w14:textFill>
    </w:rPr>
  </w:style>
  <w:style w:type="character" w:customStyle="1" w:styleId="20">
    <w:name w:val="批注框文本 Char"/>
    <w:basedOn w:val="16"/>
    <w:link w:val="8"/>
    <w:semiHidden/>
    <w:qFormat/>
    <w:uiPriority w:val="99"/>
    <w:rPr>
      <w:sz w:val="18"/>
      <w:szCs w:val="18"/>
    </w:rPr>
  </w:style>
  <w:style w:type="character" w:customStyle="1" w:styleId="21">
    <w:name w:val="标题 3 Char"/>
    <w:basedOn w:val="16"/>
    <w:link w:val="5"/>
    <w:qFormat/>
    <w:uiPriority w:val="99"/>
    <w:rPr>
      <w:rFonts w:ascii="Times New Roman" w:hAnsi="Times New Roman" w:eastAsia="仿宋_GB2312" w:cs="Times New Roman"/>
      <w:b/>
      <w:bCs/>
      <w:sz w:val="28"/>
      <w:szCs w:val="28"/>
    </w:rPr>
  </w:style>
  <w:style w:type="character" w:customStyle="1" w:styleId="22">
    <w:name w:val="正文文本 Char"/>
    <w:basedOn w:val="16"/>
    <w:link w:val="2"/>
    <w:qFormat/>
    <w:uiPriority w:val="1"/>
    <w:rPr>
      <w:rFonts w:ascii="宋体" w:hAnsi="Times New Roman" w:eastAsia="宋体" w:cs="宋体"/>
      <w:kern w:val="0"/>
      <w:sz w:val="32"/>
      <w:szCs w:val="32"/>
    </w:rPr>
  </w:style>
  <w:style w:type="paragraph" w:customStyle="1" w:styleId="2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4">
    <w:name w:val="标题 2 Char"/>
    <w:basedOn w:val="16"/>
    <w:link w:val="4"/>
    <w:qFormat/>
    <w:uiPriority w:val="9"/>
    <w:rPr>
      <w:rFonts w:asciiTheme="majorHAnsi" w:hAnsiTheme="majorHAnsi" w:eastAsiaTheme="majorEastAsia" w:cstheme="majorBidi"/>
      <w:b/>
      <w:bCs/>
      <w:sz w:val="32"/>
      <w:szCs w:val="32"/>
    </w:rPr>
  </w:style>
  <w:style w:type="character" w:customStyle="1" w:styleId="25">
    <w:name w:val="标题 1 Char"/>
    <w:basedOn w:val="16"/>
    <w:link w:val="3"/>
    <w:qFormat/>
    <w:uiPriority w:val="9"/>
    <w:rPr>
      <w:rFonts w:ascii="Times New Roman" w:hAnsi="Times New Roman" w:eastAsia="宋体" w:cs="Times New Roman"/>
      <w:b/>
      <w:bCs/>
      <w:kern w:val="44"/>
      <w:sz w:val="44"/>
      <w:szCs w:val="44"/>
    </w:rPr>
  </w:style>
  <w:style w:type="character" w:customStyle="1" w:styleId="26">
    <w:name w:val="页眉 Char"/>
    <w:basedOn w:val="16"/>
    <w:link w:val="10"/>
    <w:qFormat/>
    <w:uiPriority w:val="99"/>
    <w:rPr>
      <w:sz w:val="18"/>
      <w:szCs w:val="18"/>
    </w:rPr>
  </w:style>
  <w:style w:type="character" w:customStyle="1" w:styleId="27">
    <w:name w:val="页脚 Char"/>
    <w:basedOn w:val="16"/>
    <w:link w:val="9"/>
    <w:qFormat/>
    <w:uiPriority w:val="99"/>
    <w:rPr>
      <w:sz w:val="18"/>
      <w:szCs w:val="18"/>
    </w:rPr>
  </w:style>
  <w:style w:type="paragraph" w:customStyle="1" w:styleId="28">
    <w:name w:val="TOC 标题1"/>
    <w:basedOn w:val="3"/>
    <w:next w:val="1"/>
    <w:unhideWhenUsed/>
    <w:qFormat/>
    <w:uiPriority w:val="39"/>
    <w:pPr>
      <w:spacing w:before="480" w:after="0" w:line="276" w:lineRule="auto"/>
      <w:ind w:firstLine="0" w:firstLineChars="0"/>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29">
    <w:name w:val="Char Char Char Char"/>
    <w:basedOn w:val="1"/>
    <w:qFormat/>
    <w:uiPriority w:val="0"/>
    <w:rPr>
      <w:rFonts w:ascii="Times New Roman" w:hAnsi="Times New Roman" w:eastAsia="宋体" w:cs="Times New Roman"/>
      <w:szCs w:val="21"/>
    </w:rPr>
  </w:style>
  <w:style w:type="paragraph" w:customStyle="1" w:styleId="30">
    <w:name w:val="Default"/>
    <w:qFormat/>
    <w:uiPriority w:val="0"/>
    <w:pPr>
      <w:widowControl w:val="0"/>
      <w:autoSpaceDE w:val="0"/>
      <w:autoSpaceDN w:val="0"/>
      <w:adjustRightInd w:val="0"/>
      <w:jc w:val="center"/>
    </w:pPr>
    <w:rPr>
      <w:rFonts w:ascii="Times New Roman" w:hAnsi="Times New Roman" w:eastAsia="宋体" w:cs="Times New Roman"/>
      <w:color w:val="000000"/>
      <w:sz w:val="24"/>
      <w:szCs w:val="24"/>
      <w:lang w:val="en-US" w:eastAsia="zh-CN" w:bidi="ar-SA"/>
    </w:rPr>
  </w:style>
  <w:style w:type="paragraph" w:customStyle="1" w:styleId="31">
    <w:name w:val="Char"/>
    <w:basedOn w:val="1"/>
    <w:qFormat/>
    <w:uiPriority w:val="0"/>
    <w:rPr>
      <w:rFonts w:ascii="Times New Roman" w:hAnsi="Times New Roman" w:eastAsia="宋体" w:cs="Times New Roman"/>
      <w:szCs w:val="24"/>
    </w:rPr>
  </w:style>
  <w:style w:type="paragraph" w:styleId="32">
    <w:name w:val="List Paragraph"/>
    <w:basedOn w:val="1"/>
    <w:qFormat/>
    <w:uiPriority w:val="1"/>
    <w:pPr>
      <w:ind w:firstLine="420" w:firstLineChars="200"/>
    </w:pPr>
  </w:style>
  <w:style w:type="paragraph" w:customStyle="1" w:styleId="33">
    <w:name w:val="正文 首行缩进:  2 字符"/>
    <w:basedOn w:val="1"/>
    <w:qFormat/>
    <w:uiPriority w:val="99"/>
    <w:pPr>
      <w:spacing w:line="360" w:lineRule="auto"/>
      <w:ind w:firstLine="1040" w:firstLineChars="200"/>
      <w:jc w:val="left"/>
    </w:pPr>
    <w:rPr>
      <w:rFonts w:ascii="Times New Roman" w:hAnsi="Times New Roman" w:eastAsia="宋体" w:cs="Times New Roman"/>
      <w:sz w:val="24"/>
      <w:szCs w:val="24"/>
    </w:rPr>
  </w:style>
  <w:style w:type="paragraph" w:customStyle="1" w:styleId="34">
    <w:name w:val="TOC 标题2"/>
    <w:basedOn w:val="3"/>
    <w:next w:val="1"/>
    <w:semiHidden/>
    <w:unhideWhenUsed/>
    <w:qFormat/>
    <w:uiPriority w:val="39"/>
    <w:pPr>
      <w:spacing w:before="480" w:after="0" w:line="276" w:lineRule="auto"/>
      <w:ind w:firstLine="0" w:firstLineChars="0"/>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paragraph" w:customStyle="1" w:styleId="37">
    <w:name w:val="Body text|1"/>
    <w:basedOn w:val="1"/>
    <w:qFormat/>
    <w:uiPriority w:val="0"/>
    <w:pPr>
      <w:widowControl w:val="0"/>
      <w:shd w:val="clear" w:color="auto" w:fill="auto"/>
      <w:spacing w:line="360" w:lineRule="auto"/>
      <w:ind w:firstLine="400"/>
    </w:pPr>
    <w:rPr>
      <w:rFonts w:ascii="MingLiU" w:hAnsi="MingLiU" w:eastAsia="MingLiU" w:cs="MingLiU"/>
      <w:sz w:val="20"/>
      <w:szCs w:val="20"/>
      <w:u w:val="none"/>
      <w:shd w:val="clear" w:color="auto" w:fill="FFFFFF"/>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83be14c-cd9c-4a42-913d-589ad3473287}"/>
        <w:style w:val=""/>
        <w:category>
          <w:name w:val="常规"/>
          <w:gallery w:val="placeholder"/>
        </w:category>
        <w:types>
          <w:type w:val="bbPlcHdr"/>
        </w:types>
        <w:behaviors>
          <w:behavior w:val="content"/>
        </w:behaviors>
        <w:description w:val=""/>
        <w:guid w:val="{483be14c-cd9c-4a42-913d-589ad3473287}"/>
      </w:docPartPr>
      <w:docPartBody>
        <w:p>
          <w:r>
            <w:rPr>
              <w:color w:val="808080"/>
            </w:rPr>
            <w:t>单击此处输入文字。</w:t>
          </w:r>
        </w:p>
      </w:docPartBody>
    </w:docPart>
    <w:docPart>
      <w:docPartPr>
        <w:name w:val="{30f0b378-5f60-4c51-a98a-e752d89ecb80}"/>
        <w:style w:val=""/>
        <w:category>
          <w:name w:val="常规"/>
          <w:gallery w:val="placeholder"/>
        </w:category>
        <w:types>
          <w:type w:val="bbPlcHdr"/>
        </w:types>
        <w:behaviors>
          <w:behavior w:val="content"/>
        </w:behaviors>
        <w:description w:val=""/>
        <w:guid w:val="{30f0b378-5f60-4c51-a98a-e752d89ecb80}"/>
      </w:docPartPr>
      <w:docPartBody>
        <w:p>
          <w:r>
            <w:rPr>
              <w:color w:val="808080"/>
            </w:rPr>
            <w:t>单击此处输入文字。</w:t>
          </w:r>
        </w:p>
      </w:docPartBody>
    </w:docPart>
    <w:docPart>
      <w:docPartPr>
        <w:name w:val="{41a8858b-7ff1-4e7f-a644-05f44cd93f9b}"/>
        <w:style w:val=""/>
        <w:category>
          <w:name w:val="常规"/>
          <w:gallery w:val="placeholder"/>
        </w:category>
        <w:types>
          <w:type w:val="bbPlcHdr"/>
        </w:types>
        <w:behaviors>
          <w:behavior w:val="content"/>
        </w:behaviors>
        <w:description w:val=""/>
        <w:guid w:val="{41a8858b-7ff1-4e7f-a644-05f44cd93f9b}"/>
      </w:docPartPr>
      <w:docPartBody>
        <w:p>
          <w:r>
            <w:rPr>
              <w:color w:val="808080"/>
            </w:rPr>
            <w:t>单击此处输入文字。</w:t>
          </w:r>
        </w:p>
      </w:docPartBody>
    </w:docPart>
    <w:docPart>
      <w:docPartPr>
        <w:name w:val="{2f95d3ce-45eb-400c-ba33-9c7dad494123}"/>
        <w:style w:val=""/>
        <w:category>
          <w:name w:val="常规"/>
          <w:gallery w:val="placeholder"/>
        </w:category>
        <w:types>
          <w:type w:val="bbPlcHdr"/>
        </w:types>
        <w:behaviors>
          <w:behavior w:val="content"/>
        </w:behaviors>
        <w:description w:val=""/>
        <w:guid w:val="{2f95d3ce-45eb-400c-ba33-9c7dad494123}"/>
      </w:docPartPr>
      <w:docPartBody>
        <w:p>
          <w:r>
            <w:rPr>
              <w:color w:val="808080"/>
            </w:rPr>
            <w:t>单击此处输入文字。</w:t>
          </w:r>
        </w:p>
      </w:docPartBody>
    </w:docPart>
    <w:docPart>
      <w:docPartPr>
        <w:name w:val="{ff0a790a-df16-4263-8816-c12385806b77}"/>
        <w:style w:val=""/>
        <w:category>
          <w:name w:val="常规"/>
          <w:gallery w:val="placeholder"/>
        </w:category>
        <w:types>
          <w:type w:val="bbPlcHdr"/>
        </w:types>
        <w:behaviors>
          <w:behavior w:val="content"/>
        </w:behaviors>
        <w:description w:val=""/>
        <w:guid w:val="{ff0a790a-df16-4263-8816-c12385806b77}"/>
      </w:docPartPr>
      <w:docPartBody>
        <w:p>
          <w:r>
            <w:rPr>
              <w:color w:val="808080"/>
            </w:rPr>
            <w:t>单击此处输入文字。</w:t>
          </w:r>
        </w:p>
      </w:docPartBody>
    </w:docPart>
    <w:docPart>
      <w:docPartPr>
        <w:name w:val="{93491f24-e118-4568-8e89-4b2ad309dba8}"/>
        <w:style w:val=""/>
        <w:category>
          <w:name w:val="常规"/>
          <w:gallery w:val="placeholder"/>
        </w:category>
        <w:types>
          <w:type w:val="bbPlcHdr"/>
        </w:types>
        <w:behaviors>
          <w:behavior w:val="content"/>
        </w:behaviors>
        <w:description w:val=""/>
        <w:guid w:val="{93491f24-e118-4568-8e89-4b2ad309dba8}"/>
      </w:docPartPr>
      <w:docPartBody>
        <w:p>
          <w:r>
            <w:rPr>
              <w:color w:val="808080"/>
            </w:rPr>
            <w:t>单击此处输入文字。</w:t>
          </w:r>
        </w:p>
      </w:docPartBody>
    </w:docPart>
    <w:docPart>
      <w:docPartPr>
        <w:name w:val="{6f63f99f-afdb-437f-83a1-39573e37b0a6}"/>
        <w:style w:val=""/>
        <w:category>
          <w:name w:val="常规"/>
          <w:gallery w:val="placeholder"/>
        </w:category>
        <w:types>
          <w:type w:val="bbPlcHdr"/>
        </w:types>
        <w:behaviors>
          <w:behavior w:val="content"/>
        </w:behaviors>
        <w:description w:val=""/>
        <w:guid w:val="{6f63f99f-afdb-437f-83a1-39573e37b0a6}"/>
      </w:docPartPr>
      <w:docPartBody>
        <w:p>
          <w:r>
            <w:rPr>
              <w:color w:val="808080"/>
            </w:rPr>
            <w:t>单击此处输入文字。</w:t>
          </w:r>
        </w:p>
      </w:docPartBody>
    </w:docPart>
    <w:docPart>
      <w:docPartPr>
        <w:name w:val="{20095e6e-bc3a-42c7-a99a-ddb545520c15}"/>
        <w:style w:val=""/>
        <w:category>
          <w:name w:val="常规"/>
          <w:gallery w:val="placeholder"/>
        </w:category>
        <w:types>
          <w:type w:val="bbPlcHdr"/>
        </w:types>
        <w:behaviors>
          <w:behavior w:val="content"/>
        </w:behaviors>
        <w:description w:val=""/>
        <w:guid w:val="{20095e6e-bc3a-42c7-a99a-ddb545520c15}"/>
      </w:docPartPr>
      <w:docPartBody>
        <w:p>
          <w:r>
            <w:rPr>
              <w:color w:val="808080"/>
            </w:rPr>
            <w:t>单击此处输入文字。</w:t>
          </w:r>
        </w:p>
      </w:docPartBody>
    </w:docPart>
    <w:docPart>
      <w:docPartPr>
        <w:name w:val="{a0d82502-8485-46cf-a78a-2068bdea8576}"/>
        <w:style w:val=""/>
        <w:category>
          <w:name w:val="常规"/>
          <w:gallery w:val="placeholder"/>
        </w:category>
        <w:types>
          <w:type w:val="bbPlcHdr"/>
        </w:types>
        <w:behaviors>
          <w:behavior w:val="content"/>
        </w:behaviors>
        <w:description w:val=""/>
        <w:guid w:val="{a0d82502-8485-46cf-a78a-2068bdea8576}"/>
      </w:docPartPr>
      <w:docPartBody>
        <w:p>
          <w:r>
            <w:rPr>
              <w:color w:val="808080"/>
            </w:rPr>
            <w:t>单击此处输入文字。</w:t>
          </w:r>
        </w:p>
      </w:docPartBody>
    </w:docPart>
    <w:docPart>
      <w:docPartPr>
        <w:name w:val="{1571a145-5e74-4189-9719-fcf9f27a27c1}"/>
        <w:style w:val=""/>
        <w:category>
          <w:name w:val="常规"/>
          <w:gallery w:val="placeholder"/>
        </w:category>
        <w:types>
          <w:type w:val="bbPlcHdr"/>
        </w:types>
        <w:behaviors>
          <w:behavior w:val="content"/>
        </w:behaviors>
        <w:description w:val=""/>
        <w:guid w:val="{1571a145-5e74-4189-9719-fcf9f27a27c1}"/>
      </w:docPartPr>
      <w:docPartBody>
        <w:p>
          <w:r>
            <w:rPr>
              <w:color w:val="808080"/>
            </w:rPr>
            <w:t>单击此处输入文字。</w:t>
          </w:r>
        </w:p>
      </w:docPartBody>
    </w:docPart>
    <w:docPart>
      <w:docPartPr>
        <w:name w:val="{8daacd63-1adf-4ed3-84de-5f8d7bcd5b73}"/>
        <w:style w:val=""/>
        <w:category>
          <w:name w:val="常规"/>
          <w:gallery w:val="placeholder"/>
        </w:category>
        <w:types>
          <w:type w:val="bbPlcHdr"/>
        </w:types>
        <w:behaviors>
          <w:behavior w:val="content"/>
        </w:behaviors>
        <w:description w:val=""/>
        <w:guid w:val="{8daacd63-1adf-4ed3-84de-5f8d7bcd5b73}"/>
      </w:docPartPr>
      <w:docPartBody>
        <w:p>
          <w:r>
            <w:rPr>
              <w:color w:val="808080"/>
            </w:rPr>
            <w:t>单击此处输入文字。</w:t>
          </w:r>
        </w:p>
      </w:docPartBody>
    </w:docPart>
    <w:docPart>
      <w:docPartPr>
        <w:name w:val="{a833871a-bde5-407c-ba0e-af216c92538f}"/>
        <w:style w:val=""/>
        <w:category>
          <w:name w:val="常规"/>
          <w:gallery w:val="placeholder"/>
        </w:category>
        <w:types>
          <w:type w:val="bbPlcHdr"/>
        </w:types>
        <w:behaviors>
          <w:behavior w:val="content"/>
        </w:behaviors>
        <w:description w:val=""/>
        <w:guid w:val="{a833871a-bde5-407c-ba0e-af216c92538f}"/>
      </w:docPartPr>
      <w:docPartBody>
        <w:p>
          <w:r>
            <w:rPr>
              <w:color w:val="808080"/>
            </w:rPr>
            <w:t>单击此处输入文字。</w:t>
          </w:r>
        </w:p>
      </w:docPartBody>
    </w:docPart>
    <w:docPart>
      <w:docPartPr>
        <w:name w:val="{25136095-6f50-4b2b-b87a-3129f0746cee}"/>
        <w:style w:val=""/>
        <w:category>
          <w:name w:val="常规"/>
          <w:gallery w:val="placeholder"/>
        </w:category>
        <w:types>
          <w:type w:val="bbPlcHdr"/>
        </w:types>
        <w:behaviors>
          <w:behavior w:val="content"/>
        </w:behaviors>
        <w:description w:val=""/>
        <w:guid w:val="{25136095-6f50-4b2b-b87a-3129f0746cee}"/>
      </w:docPartPr>
      <w:docPartBody>
        <w:p>
          <w:r>
            <w:rPr>
              <w:color w:val="808080"/>
            </w:rPr>
            <w:t>单击此处输入文字。</w:t>
          </w:r>
        </w:p>
      </w:docPartBody>
    </w:docPart>
    <w:docPart>
      <w:docPartPr>
        <w:name w:val="{be041c0b-d8f7-43d8-be0d-df1c4182993d}"/>
        <w:style w:val=""/>
        <w:category>
          <w:name w:val="常规"/>
          <w:gallery w:val="placeholder"/>
        </w:category>
        <w:types>
          <w:type w:val="bbPlcHdr"/>
        </w:types>
        <w:behaviors>
          <w:behavior w:val="content"/>
        </w:behaviors>
        <w:description w:val=""/>
        <w:guid w:val="{be041c0b-d8f7-43d8-be0d-df1c4182993d}"/>
      </w:docPartPr>
      <w:docPartBody>
        <w:p>
          <w:r>
            <w:rPr>
              <w:color w:val="808080"/>
            </w:rPr>
            <w:t>单击此处输入文字。</w:t>
          </w:r>
        </w:p>
      </w:docPartBody>
    </w:docPart>
    <w:docPart>
      <w:docPartPr>
        <w:name w:val="{79c47a79-4a6d-4880-9089-bbc2fc9cc6df}"/>
        <w:style w:val=""/>
        <w:category>
          <w:name w:val="常规"/>
          <w:gallery w:val="placeholder"/>
        </w:category>
        <w:types>
          <w:type w:val="bbPlcHdr"/>
        </w:types>
        <w:behaviors>
          <w:behavior w:val="content"/>
        </w:behaviors>
        <w:description w:val=""/>
        <w:guid w:val="{79c47a79-4a6d-4880-9089-bbc2fc9cc6df}"/>
      </w:docPartPr>
      <w:docPartBody>
        <w:p>
          <w:r>
            <w:rPr>
              <w:color w:val="808080"/>
            </w:rPr>
            <w:t>单击此处输入文字。</w:t>
          </w:r>
        </w:p>
      </w:docPartBody>
    </w:docPart>
    <w:docPart>
      <w:docPartPr>
        <w:name w:val="{b8aa2a9d-4a60-4db5-8ebb-5fd050369571}"/>
        <w:style w:val=""/>
        <w:category>
          <w:name w:val="常规"/>
          <w:gallery w:val="placeholder"/>
        </w:category>
        <w:types>
          <w:type w:val="bbPlcHdr"/>
        </w:types>
        <w:behaviors>
          <w:behavior w:val="content"/>
        </w:behaviors>
        <w:description w:val=""/>
        <w:guid w:val="{b8aa2a9d-4a60-4db5-8ebb-5fd050369571}"/>
      </w:docPartPr>
      <w:docPartBody>
        <w:p>
          <w:r>
            <w:rPr>
              <w:color w:val="808080"/>
            </w:rPr>
            <w:t>单击此处输入文字。</w:t>
          </w:r>
        </w:p>
      </w:docPartBody>
    </w:docPart>
    <w:docPart>
      <w:docPartPr>
        <w:name w:val="{1b13e6d3-ad68-4313-bc23-6c390f5eb376}"/>
        <w:style w:val=""/>
        <w:category>
          <w:name w:val="常规"/>
          <w:gallery w:val="placeholder"/>
        </w:category>
        <w:types>
          <w:type w:val="bbPlcHdr"/>
        </w:types>
        <w:behaviors>
          <w:behavior w:val="content"/>
        </w:behaviors>
        <w:description w:val=""/>
        <w:guid w:val="{1b13e6d3-ad68-4313-bc23-6c390f5eb376}"/>
      </w:docPartPr>
      <w:docPartBody>
        <w:p>
          <w:r>
            <w:rPr>
              <w:color w:val="808080"/>
            </w:rPr>
            <w:t>单击此处输入文字。</w:t>
          </w:r>
        </w:p>
      </w:docPartBody>
    </w:docPart>
    <w:docPart>
      <w:docPartPr>
        <w:name w:val="{8efcbaa2-f73f-4c62-99ee-95e0e76d5ac8}"/>
        <w:style w:val=""/>
        <w:category>
          <w:name w:val="常规"/>
          <w:gallery w:val="placeholder"/>
        </w:category>
        <w:types>
          <w:type w:val="bbPlcHdr"/>
        </w:types>
        <w:behaviors>
          <w:behavior w:val="content"/>
        </w:behaviors>
        <w:description w:val=""/>
        <w:guid w:val="{8efcbaa2-f73f-4c62-99ee-95e0e76d5ac8}"/>
      </w:docPartPr>
      <w:docPartBody>
        <w:p>
          <w:r>
            <w:rPr>
              <w:color w:val="808080"/>
            </w:rPr>
            <w:t>单击此处输入文字。</w:t>
          </w:r>
        </w:p>
      </w:docPartBody>
    </w:docPart>
    <w:docPart>
      <w:docPartPr>
        <w:name w:val="{2e4bbfcc-cb98-40a4-b356-f8351702f55f}"/>
        <w:style w:val=""/>
        <w:category>
          <w:name w:val="常规"/>
          <w:gallery w:val="placeholder"/>
        </w:category>
        <w:types>
          <w:type w:val="bbPlcHdr"/>
        </w:types>
        <w:behaviors>
          <w:behavior w:val="content"/>
        </w:behaviors>
        <w:description w:val=""/>
        <w:guid w:val="{2e4bbfcc-cb98-40a4-b356-f8351702f55f}"/>
      </w:docPartPr>
      <w:docPartBody>
        <w:p>
          <w:r>
            <w:rPr>
              <w:color w:val="808080"/>
            </w:rPr>
            <w:t>单击此处输入文字。</w:t>
          </w:r>
        </w:p>
      </w:docPartBody>
    </w:docPart>
    <w:docPart>
      <w:docPartPr>
        <w:name w:val="{2b982f92-9576-49f6-80f1-c1af21d6c39d}"/>
        <w:style w:val=""/>
        <w:category>
          <w:name w:val="常规"/>
          <w:gallery w:val="placeholder"/>
        </w:category>
        <w:types>
          <w:type w:val="bbPlcHdr"/>
        </w:types>
        <w:behaviors>
          <w:behavior w:val="content"/>
        </w:behaviors>
        <w:description w:val=""/>
        <w:guid w:val="{2b982f92-9576-49f6-80f1-c1af21d6c39d}"/>
      </w:docPartPr>
      <w:docPartBody>
        <w:p>
          <w:r>
            <w:rPr>
              <w:color w:val="808080"/>
            </w:rPr>
            <w:t>单击此处输入文字。</w:t>
          </w:r>
        </w:p>
      </w:docPartBody>
    </w:docPart>
    <w:docPart>
      <w:docPartPr>
        <w:name w:val="{bebf6f50-1467-4fea-8b21-5b60c419b63d}"/>
        <w:style w:val=""/>
        <w:category>
          <w:name w:val="常规"/>
          <w:gallery w:val="placeholder"/>
        </w:category>
        <w:types>
          <w:type w:val="bbPlcHdr"/>
        </w:types>
        <w:behaviors>
          <w:behavior w:val="content"/>
        </w:behaviors>
        <w:description w:val=""/>
        <w:guid w:val="{bebf6f50-1467-4fea-8b21-5b60c419b63d}"/>
      </w:docPartPr>
      <w:docPartBody>
        <w:p>
          <w:r>
            <w:rPr>
              <w:color w:val="808080"/>
            </w:rPr>
            <w:t>单击此处输入文字。</w:t>
          </w:r>
        </w:p>
      </w:docPartBody>
    </w:docPart>
    <w:docPart>
      <w:docPartPr>
        <w:name w:val="{3da80ff4-1e39-4a89-8a49-8b7c8c87f842}"/>
        <w:style w:val=""/>
        <w:category>
          <w:name w:val="常规"/>
          <w:gallery w:val="placeholder"/>
        </w:category>
        <w:types>
          <w:type w:val="bbPlcHdr"/>
        </w:types>
        <w:behaviors>
          <w:behavior w:val="content"/>
        </w:behaviors>
        <w:description w:val=""/>
        <w:guid w:val="{3da80ff4-1e39-4a89-8a49-8b7c8c87f842}"/>
      </w:docPartPr>
      <w:docPartBody>
        <w:p>
          <w:r>
            <w:rPr>
              <w:color w:val="808080"/>
            </w:rPr>
            <w:t>单击此处输入文字。</w:t>
          </w:r>
        </w:p>
      </w:docPartBody>
    </w:docPart>
    <w:docPart>
      <w:docPartPr>
        <w:name w:val="{c0783bee-d94f-4bdc-9b9a-a2dab1650dd3}"/>
        <w:style w:val=""/>
        <w:category>
          <w:name w:val="常规"/>
          <w:gallery w:val="placeholder"/>
        </w:category>
        <w:types>
          <w:type w:val="bbPlcHdr"/>
        </w:types>
        <w:behaviors>
          <w:behavior w:val="content"/>
        </w:behaviors>
        <w:description w:val=""/>
        <w:guid w:val="{c0783bee-d94f-4bdc-9b9a-a2dab1650dd3}"/>
      </w:docPartPr>
      <w:docPartBody>
        <w:p>
          <w:r>
            <w:rPr>
              <w:color w:val="808080"/>
            </w:rPr>
            <w:t>单击此处输入文字。</w:t>
          </w:r>
        </w:p>
      </w:docPartBody>
    </w:docPart>
    <w:docPart>
      <w:docPartPr>
        <w:name w:val="{39982470-fec9-4771-a442-c62ed008b2b4}"/>
        <w:style w:val=""/>
        <w:category>
          <w:name w:val="常规"/>
          <w:gallery w:val="placeholder"/>
        </w:category>
        <w:types>
          <w:type w:val="bbPlcHdr"/>
        </w:types>
        <w:behaviors>
          <w:behavior w:val="content"/>
        </w:behaviors>
        <w:description w:val=""/>
        <w:guid w:val="{39982470-fec9-4771-a442-c62ed008b2b4}"/>
      </w:docPartPr>
      <w:docPartBody>
        <w:p>
          <w:r>
            <w:rPr>
              <w:color w:val="808080"/>
            </w:rPr>
            <w:t>单击此处输入文字。</w:t>
          </w:r>
        </w:p>
      </w:docPartBody>
    </w:docPart>
    <w:docPart>
      <w:docPartPr>
        <w:name w:val="{c2c3ff3b-3b23-46f1-b5fd-ab06240437bc}"/>
        <w:style w:val=""/>
        <w:category>
          <w:name w:val="常规"/>
          <w:gallery w:val="placeholder"/>
        </w:category>
        <w:types>
          <w:type w:val="bbPlcHdr"/>
        </w:types>
        <w:behaviors>
          <w:behavior w:val="content"/>
        </w:behaviors>
        <w:description w:val=""/>
        <w:guid w:val="{c2c3ff3b-3b23-46f1-b5fd-ab06240437bc}"/>
      </w:docPartPr>
      <w:docPartBody>
        <w:p>
          <w:r>
            <w:rPr>
              <w:color w:val="808080"/>
            </w:rPr>
            <w:t>单击此处输入文字。</w:t>
          </w:r>
        </w:p>
      </w:docPartBody>
    </w:docPart>
    <w:docPart>
      <w:docPartPr>
        <w:name w:val="{49bb9007-75a4-4fb8-8a16-9bbb1825983d}"/>
        <w:style w:val=""/>
        <w:category>
          <w:name w:val="常规"/>
          <w:gallery w:val="placeholder"/>
        </w:category>
        <w:types>
          <w:type w:val="bbPlcHdr"/>
        </w:types>
        <w:behaviors>
          <w:behavior w:val="content"/>
        </w:behaviors>
        <w:description w:val=""/>
        <w:guid w:val="{49bb9007-75a4-4fb8-8a16-9bbb1825983d}"/>
      </w:docPartPr>
      <w:docPartBody>
        <w:p>
          <w:r>
            <w:rPr>
              <w:color w:val="808080"/>
            </w:rPr>
            <w:t>单击此处输入文字。</w:t>
          </w:r>
        </w:p>
      </w:docPartBody>
    </w:docPart>
    <w:docPart>
      <w:docPartPr>
        <w:name w:val="{7fb61406-4d97-4603-a88e-28b9894d8138}"/>
        <w:style w:val=""/>
        <w:category>
          <w:name w:val="常规"/>
          <w:gallery w:val="placeholder"/>
        </w:category>
        <w:types>
          <w:type w:val="bbPlcHdr"/>
        </w:types>
        <w:behaviors>
          <w:behavior w:val="content"/>
        </w:behaviors>
        <w:description w:val=""/>
        <w:guid w:val="{7fb61406-4d97-4603-a88e-28b9894d8138}"/>
      </w:docPartPr>
      <w:docPartBody>
        <w:p>
          <w:r>
            <w:rPr>
              <w:color w:val="808080"/>
            </w:rPr>
            <w:t>单击此处输入文字。</w:t>
          </w:r>
        </w:p>
      </w:docPartBody>
    </w:docPart>
    <w:docPart>
      <w:docPartPr>
        <w:name w:val="{6ff0fc70-7e8e-449c-8fa8-9c68ac2bd5a2}"/>
        <w:style w:val=""/>
        <w:category>
          <w:name w:val="常规"/>
          <w:gallery w:val="placeholder"/>
        </w:category>
        <w:types>
          <w:type w:val="bbPlcHdr"/>
        </w:types>
        <w:behaviors>
          <w:behavior w:val="content"/>
        </w:behaviors>
        <w:description w:val=""/>
        <w:guid w:val="{6ff0fc70-7e8e-449c-8fa8-9c68ac2bd5a2}"/>
      </w:docPartPr>
      <w:docPartBody>
        <w:p>
          <w:r>
            <w:rPr>
              <w:color w:val="808080"/>
            </w:rPr>
            <w:t>单击此处输入文字。</w:t>
          </w:r>
        </w:p>
      </w:docPartBody>
    </w:docPart>
    <w:docPart>
      <w:docPartPr>
        <w:name w:val="{a972175e-d0a6-468c-920d-814406ec0d57}"/>
        <w:style w:val=""/>
        <w:category>
          <w:name w:val="常规"/>
          <w:gallery w:val="placeholder"/>
        </w:category>
        <w:types>
          <w:type w:val="bbPlcHdr"/>
        </w:types>
        <w:behaviors>
          <w:behavior w:val="content"/>
        </w:behaviors>
        <w:description w:val=""/>
        <w:guid w:val="{a972175e-d0a6-468c-920d-814406ec0d57}"/>
      </w:docPartPr>
      <w:docPartBody>
        <w:p>
          <w:r>
            <w:rPr>
              <w:color w:val="808080"/>
            </w:rPr>
            <w:t>单击此处输入文字。</w:t>
          </w:r>
        </w:p>
      </w:docPartBody>
    </w:docPart>
    <w:docPart>
      <w:docPartPr>
        <w:name w:val="{526551d3-45bc-4b6b-9eee-74a9f216c900}"/>
        <w:style w:val=""/>
        <w:category>
          <w:name w:val="常规"/>
          <w:gallery w:val="placeholder"/>
        </w:category>
        <w:types>
          <w:type w:val="bbPlcHdr"/>
        </w:types>
        <w:behaviors>
          <w:behavior w:val="content"/>
        </w:behaviors>
        <w:description w:val=""/>
        <w:guid w:val="{526551d3-45bc-4b6b-9eee-74a9f216c900}"/>
      </w:docPartPr>
      <w:docPartBody>
        <w:p>
          <w:r>
            <w:rPr>
              <w:color w:val="808080"/>
            </w:rPr>
            <w:t>单击此处输入文字。</w:t>
          </w:r>
        </w:p>
      </w:docPartBody>
    </w:docPart>
    <w:docPart>
      <w:docPartPr>
        <w:name w:val="{689f4d5b-f0e1-4169-bd29-3c6ebe2df922}"/>
        <w:style w:val=""/>
        <w:category>
          <w:name w:val="常规"/>
          <w:gallery w:val="placeholder"/>
        </w:category>
        <w:types>
          <w:type w:val="bbPlcHdr"/>
        </w:types>
        <w:behaviors>
          <w:behavior w:val="content"/>
        </w:behaviors>
        <w:description w:val=""/>
        <w:guid w:val="{689f4d5b-f0e1-4169-bd29-3c6ebe2df922}"/>
      </w:docPartPr>
      <w:docPartBody>
        <w:p>
          <w:r>
            <w:rPr>
              <w:color w:val="808080"/>
            </w:rPr>
            <w:t>单击此处输入文字。</w:t>
          </w:r>
        </w:p>
      </w:docPartBody>
    </w:docPart>
    <w:docPart>
      <w:docPartPr>
        <w:name w:val="{d1087d89-22f1-4a46-b0ef-4047ea628195}"/>
        <w:style w:val=""/>
        <w:category>
          <w:name w:val="常规"/>
          <w:gallery w:val="placeholder"/>
        </w:category>
        <w:types>
          <w:type w:val="bbPlcHdr"/>
        </w:types>
        <w:behaviors>
          <w:behavior w:val="content"/>
        </w:behaviors>
        <w:description w:val=""/>
        <w:guid w:val="{d1087d89-22f1-4a46-b0ef-4047ea628195}"/>
      </w:docPartPr>
      <w:docPartBody>
        <w:p>
          <w:r>
            <w:rPr>
              <w:color w:val="808080"/>
            </w:rPr>
            <w:t>单击此处输入文字。</w:t>
          </w:r>
        </w:p>
      </w:docPartBody>
    </w:docPart>
    <w:docPart>
      <w:docPartPr>
        <w:name w:val="{75c6f7a9-b4a2-42fd-8485-cbef80ff49de}"/>
        <w:style w:val=""/>
        <w:category>
          <w:name w:val="常规"/>
          <w:gallery w:val="placeholder"/>
        </w:category>
        <w:types>
          <w:type w:val="bbPlcHdr"/>
        </w:types>
        <w:behaviors>
          <w:behavior w:val="content"/>
        </w:behaviors>
        <w:description w:val=""/>
        <w:guid w:val="{75c6f7a9-b4a2-42fd-8485-cbef80ff49de}"/>
      </w:docPartPr>
      <w:docPartBody>
        <w:p>
          <w:r>
            <w:rPr>
              <w:color w:val="808080"/>
            </w:rPr>
            <w:t>单击此处输入文字。</w:t>
          </w:r>
        </w:p>
      </w:docPartBody>
    </w:docPart>
    <w:docPart>
      <w:docPartPr>
        <w:name w:val="{93b75403-289f-40fd-ba1f-22a95f502958}"/>
        <w:style w:val=""/>
        <w:category>
          <w:name w:val="常规"/>
          <w:gallery w:val="placeholder"/>
        </w:category>
        <w:types>
          <w:type w:val="bbPlcHdr"/>
        </w:types>
        <w:behaviors>
          <w:behavior w:val="content"/>
        </w:behaviors>
        <w:description w:val=""/>
        <w:guid w:val="{93b75403-289f-40fd-ba1f-22a95f502958}"/>
      </w:docPartPr>
      <w:docPartBody>
        <w:p>
          <w:r>
            <w:rPr>
              <w:color w:val="808080"/>
            </w:rPr>
            <w:t>单击此处输入文字。</w:t>
          </w:r>
        </w:p>
      </w:docPartBody>
    </w:docPart>
    <w:docPart>
      <w:docPartPr>
        <w:name w:val="{e0a28f9b-1f0a-48de-b291-3a6d464f2e9f}"/>
        <w:style w:val=""/>
        <w:category>
          <w:name w:val="常规"/>
          <w:gallery w:val="placeholder"/>
        </w:category>
        <w:types>
          <w:type w:val="bbPlcHdr"/>
        </w:types>
        <w:behaviors>
          <w:behavior w:val="content"/>
        </w:behaviors>
        <w:description w:val=""/>
        <w:guid w:val="{e0a28f9b-1f0a-48de-b291-3a6d464f2e9f}"/>
      </w:docPartPr>
      <w:docPartBody>
        <w:p>
          <w:r>
            <w:rPr>
              <w:color w:val="808080"/>
            </w:rPr>
            <w:t>单击此处输入文字。</w:t>
          </w:r>
        </w:p>
      </w:docPartBody>
    </w:docPart>
    <w:docPart>
      <w:docPartPr>
        <w:name w:val="{5ad3cf13-30b6-4337-9273-f223fb1db794}"/>
        <w:style w:val=""/>
        <w:category>
          <w:name w:val="常规"/>
          <w:gallery w:val="placeholder"/>
        </w:category>
        <w:types>
          <w:type w:val="bbPlcHdr"/>
        </w:types>
        <w:behaviors>
          <w:behavior w:val="content"/>
        </w:behaviors>
        <w:description w:val=""/>
        <w:guid w:val="{5ad3cf13-30b6-4337-9273-f223fb1db794}"/>
      </w:docPartPr>
      <w:docPartBody>
        <w:p>
          <w:r>
            <w:rPr>
              <w:color w:val="808080"/>
            </w:rPr>
            <w:t>单击此处输入文字。</w:t>
          </w:r>
        </w:p>
      </w:docPartBody>
    </w:docPart>
    <w:docPart>
      <w:docPartPr>
        <w:name w:val="{7c055a69-35d8-451b-8cb7-b4980a25e137}"/>
        <w:style w:val=""/>
        <w:category>
          <w:name w:val="常规"/>
          <w:gallery w:val="placeholder"/>
        </w:category>
        <w:types>
          <w:type w:val="bbPlcHdr"/>
        </w:types>
        <w:behaviors>
          <w:behavior w:val="content"/>
        </w:behaviors>
        <w:description w:val=""/>
        <w:guid w:val="{7c055a69-35d8-451b-8cb7-b4980a25e137}"/>
      </w:docPartPr>
      <w:docPartBody>
        <w:p>
          <w:r>
            <w:rPr>
              <w:color w:val="808080"/>
            </w:rPr>
            <w:t>单击此处输入文字。</w:t>
          </w:r>
        </w:p>
      </w:docPartBody>
    </w:docPart>
    <w:docPart>
      <w:docPartPr>
        <w:name w:val="{04f12ef3-115e-49e0-8b89-e095582b83a3}"/>
        <w:style w:val=""/>
        <w:category>
          <w:name w:val="常规"/>
          <w:gallery w:val="placeholder"/>
        </w:category>
        <w:types>
          <w:type w:val="bbPlcHdr"/>
        </w:types>
        <w:behaviors>
          <w:behavior w:val="content"/>
        </w:behaviors>
        <w:description w:val=""/>
        <w:guid w:val="{04f12ef3-115e-49e0-8b89-e095582b83a3}"/>
      </w:docPartPr>
      <w:docPartBody>
        <w:p>
          <w:r>
            <w:rPr>
              <w:color w:val="808080"/>
            </w:rPr>
            <w:t>单击此处输入文字。</w:t>
          </w:r>
        </w:p>
      </w:docPartBody>
    </w:docPart>
    <w:docPart>
      <w:docPartPr>
        <w:name w:val="{7c050ecf-09d5-4dc3-a50c-ca1855a754c4}"/>
        <w:style w:val=""/>
        <w:category>
          <w:name w:val="常规"/>
          <w:gallery w:val="placeholder"/>
        </w:category>
        <w:types>
          <w:type w:val="bbPlcHdr"/>
        </w:types>
        <w:behaviors>
          <w:behavior w:val="content"/>
        </w:behaviors>
        <w:description w:val=""/>
        <w:guid w:val="{7c050ecf-09d5-4dc3-a50c-ca1855a754c4}"/>
      </w:docPartPr>
      <w:docPartBody>
        <w:p>
          <w:r>
            <w:rPr>
              <w:color w:val="808080"/>
            </w:rPr>
            <w:t>单击此处输入文字。</w:t>
          </w:r>
        </w:p>
      </w:docPartBody>
    </w:docPart>
    <w:docPart>
      <w:docPartPr>
        <w:name w:val="{53347103-1c73-40e1-9394-a1e9f6d80c29}"/>
        <w:style w:val=""/>
        <w:category>
          <w:name w:val="常规"/>
          <w:gallery w:val="placeholder"/>
        </w:category>
        <w:types>
          <w:type w:val="bbPlcHdr"/>
        </w:types>
        <w:behaviors>
          <w:behavior w:val="content"/>
        </w:behaviors>
        <w:description w:val=""/>
        <w:guid w:val="{53347103-1c73-40e1-9394-a1e9f6d80c29}"/>
      </w:docPartPr>
      <w:docPartBody>
        <w:p>
          <w:r>
            <w:rPr>
              <w:color w:val="808080"/>
            </w:rPr>
            <w:t>单击此处输入文字。</w:t>
          </w:r>
        </w:p>
      </w:docPartBody>
    </w:docPart>
    <w:docPart>
      <w:docPartPr>
        <w:name w:val="{5467d016-3b1d-4aed-b27b-b71b892b0ff8}"/>
        <w:style w:val=""/>
        <w:category>
          <w:name w:val="常规"/>
          <w:gallery w:val="placeholder"/>
        </w:category>
        <w:types>
          <w:type w:val="bbPlcHdr"/>
        </w:types>
        <w:behaviors>
          <w:behavior w:val="content"/>
        </w:behaviors>
        <w:description w:val=""/>
        <w:guid w:val="{5467d016-3b1d-4aed-b27b-b71b892b0ff8}"/>
      </w:docPartPr>
      <w:docPartBody>
        <w:p>
          <w:r>
            <w:rPr>
              <w:color w:val="808080"/>
            </w:rPr>
            <w:t>单击此处输入文字。</w:t>
          </w:r>
        </w:p>
      </w:docPartBody>
    </w:docPart>
    <w:docPart>
      <w:docPartPr>
        <w:name w:val="{6cd489e1-ecba-4bea-8352-f8daebfac0e4}"/>
        <w:style w:val=""/>
        <w:category>
          <w:name w:val="常规"/>
          <w:gallery w:val="placeholder"/>
        </w:category>
        <w:types>
          <w:type w:val="bbPlcHdr"/>
        </w:types>
        <w:behaviors>
          <w:behavior w:val="content"/>
        </w:behaviors>
        <w:description w:val=""/>
        <w:guid w:val="{6cd489e1-ecba-4bea-8352-f8daebfac0e4}"/>
      </w:docPartPr>
      <w:docPartBody>
        <w:p>
          <w:r>
            <w:rPr>
              <w:color w:val="808080"/>
            </w:rPr>
            <w:t>单击此处输入文字。</w:t>
          </w:r>
        </w:p>
      </w:docPartBody>
    </w:docPart>
    <w:docPart>
      <w:docPartPr>
        <w:name w:val="{191e3385-0556-4212-a5c1-6de68f8b7b2b}"/>
        <w:style w:val=""/>
        <w:category>
          <w:name w:val="常规"/>
          <w:gallery w:val="placeholder"/>
        </w:category>
        <w:types>
          <w:type w:val="bbPlcHdr"/>
        </w:types>
        <w:behaviors>
          <w:behavior w:val="content"/>
        </w:behaviors>
        <w:description w:val=""/>
        <w:guid w:val="{191e3385-0556-4212-a5c1-6de68f8b7b2b}"/>
      </w:docPartPr>
      <w:docPartBody>
        <w:p>
          <w:r>
            <w:rPr>
              <w:color w:val="808080"/>
            </w:rPr>
            <w:t>单击此处输入文字。</w:t>
          </w:r>
        </w:p>
      </w:docPartBody>
    </w:docPart>
    <w:docPart>
      <w:docPartPr>
        <w:name w:val="{10cfaf3b-02f2-4880-849f-22cd894b27f7}"/>
        <w:style w:val=""/>
        <w:category>
          <w:name w:val="常规"/>
          <w:gallery w:val="placeholder"/>
        </w:category>
        <w:types>
          <w:type w:val="bbPlcHdr"/>
        </w:types>
        <w:behaviors>
          <w:behavior w:val="content"/>
        </w:behaviors>
        <w:description w:val=""/>
        <w:guid w:val="{10cfaf3b-02f2-4880-849f-22cd894b27f7}"/>
      </w:docPartPr>
      <w:docPartBody>
        <w:p>
          <w:r>
            <w:rPr>
              <w:color w:val="808080"/>
            </w:rPr>
            <w:t>单击此处输入文字。</w:t>
          </w:r>
        </w:p>
      </w:docPartBody>
    </w:docPart>
    <w:docPart>
      <w:docPartPr>
        <w:name w:val="{8cc75813-461c-484c-aa99-f221117b58b3}"/>
        <w:style w:val=""/>
        <w:category>
          <w:name w:val="常规"/>
          <w:gallery w:val="placeholder"/>
        </w:category>
        <w:types>
          <w:type w:val="bbPlcHdr"/>
        </w:types>
        <w:behaviors>
          <w:behavior w:val="content"/>
        </w:behaviors>
        <w:description w:val=""/>
        <w:guid w:val="{8cc75813-461c-484c-aa99-f221117b58b3}"/>
      </w:docPartPr>
      <w:docPartBody>
        <w:p>
          <w:r>
            <w:rPr>
              <w:color w:val="808080"/>
            </w:rPr>
            <w:t>单击此处输入文字。</w:t>
          </w:r>
        </w:p>
      </w:docPartBody>
    </w:docPart>
    <w:docPart>
      <w:docPartPr>
        <w:name w:val="{d94ba83c-203d-4aaa-a87f-63396b6f1e95}"/>
        <w:style w:val=""/>
        <w:category>
          <w:name w:val="常规"/>
          <w:gallery w:val="placeholder"/>
        </w:category>
        <w:types>
          <w:type w:val="bbPlcHdr"/>
        </w:types>
        <w:behaviors>
          <w:behavior w:val="content"/>
        </w:behaviors>
        <w:description w:val=""/>
        <w:guid w:val="{d94ba83c-203d-4aaa-a87f-63396b6f1e95}"/>
      </w:docPartPr>
      <w:docPartBody>
        <w:p>
          <w:r>
            <w:rPr>
              <w:color w:val="808080"/>
            </w:rPr>
            <w:t>单击此处输入文字。</w:t>
          </w:r>
        </w:p>
      </w:docPartBody>
    </w:docPart>
    <w:docPart>
      <w:docPartPr>
        <w:name w:val="{9b3c43bd-8cf8-4184-8d1f-1bad45a52cb6}"/>
        <w:style w:val=""/>
        <w:category>
          <w:name w:val="常规"/>
          <w:gallery w:val="placeholder"/>
        </w:category>
        <w:types>
          <w:type w:val="bbPlcHdr"/>
        </w:types>
        <w:behaviors>
          <w:behavior w:val="content"/>
        </w:behaviors>
        <w:description w:val=""/>
        <w:guid w:val="{9b3c43bd-8cf8-4184-8d1f-1bad45a52cb6}"/>
      </w:docPartPr>
      <w:docPartBody>
        <w:p>
          <w:r>
            <w:rPr>
              <w:color w:val="808080"/>
            </w:rPr>
            <w:t>单击此处输入文字。</w:t>
          </w:r>
        </w:p>
      </w:docPartBody>
    </w:docPart>
    <w:docPart>
      <w:docPartPr>
        <w:name w:val="{04b2fd9b-b969-4173-8bdf-66ef76d16fe1}"/>
        <w:style w:val=""/>
        <w:category>
          <w:name w:val="常规"/>
          <w:gallery w:val="placeholder"/>
        </w:category>
        <w:types>
          <w:type w:val="bbPlcHdr"/>
        </w:types>
        <w:behaviors>
          <w:behavior w:val="content"/>
        </w:behaviors>
        <w:description w:val=""/>
        <w:guid w:val="{04b2fd9b-b969-4173-8bdf-66ef76d16fe1}"/>
      </w:docPartPr>
      <w:docPartBody>
        <w:p>
          <w:r>
            <w:rPr>
              <w:color w:val="808080"/>
            </w:rPr>
            <w:t>单击此处输入文字。</w:t>
          </w:r>
        </w:p>
      </w:docPartBody>
    </w:docPart>
    <w:docPart>
      <w:docPartPr>
        <w:name w:val="{849b200b-8031-44c4-98a3-5b43c466ff18}"/>
        <w:style w:val=""/>
        <w:category>
          <w:name w:val="常规"/>
          <w:gallery w:val="placeholder"/>
        </w:category>
        <w:types>
          <w:type w:val="bbPlcHdr"/>
        </w:types>
        <w:behaviors>
          <w:behavior w:val="content"/>
        </w:behaviors>
        <w:description w:val=""/>
        <w:guid w:val="{849b200b-8031-44c4-98a3-5b43c466ff18}"/>
      </w:docPartPr>
      <w:docPartBody>
        <w:p>
          <w:r>
            <w:rPr>
              <w:color w:val="808080"/>
            </w:rPr>
            <w:t>单击此处输入文字。</w:t>
          </w:r>
        </w:p>
      </w:docPartBody>
    </w:docPart>
    <w:docPart>
      <w:docPartPr>
        <w:name w:val="{ac43fee8-2626-47ed-b3f1-60a1471fe54e}"/>
        <w:style w:val=""/>
        <w:category>
          <w:name w:val="常规"/>
          <w:gallery w:val="placeholder"/>
        </w:category>
        <w:types>
          <w:type w:val="bbPlcHdr"/>
        </w:types>
        <w:behaviors>
          <w:behavior w:val="content"/>
        </w:behaviors>
        <w:description w:val=""/>
        <w:guid w:val="{ac43fee8-2626-47ed-b3f1-60a1471fe54e}"/>
      </w:docPartPr>
      <w:docPartBody>
        <w:p>
          <w:r>
            <w:rPr>
              <w:color w:val="808080"/>
            </w:rPr>
            <w:t>单击此处输入文字。</w:t>
          </w:r>
        </w:p>
      </w:docPartBody>
    </w:docPart>
    <w:docPart>
      <w:docPartPr>
        <w:name w:val="{d6b83869-2f26-4243-942c-db4b8b05babc}"/>
        <w:style w:val=""/>
        <w:category>
          <w:name w:val="常规"/>
          <w:gallery w:val="placeholder"/>
        </w:category>
        <w:types>
          <w:type w:val="bbPlcHdr"/>
        </w:types>
        <w:behaviors>
          <w:behavior w:val="content"/>
        </w:behaviors>
        <w:description w:val=""/>
        <w:guid w:val="{d6b83869-2f26-4243-942c-db4b8b05babc}"/>
      </w:docPartPr>
      <w:docPartBody>
        <w:p>
          <w:r>
            <w:rPr>
              <w:color w:val="808080"/>
            </w:rPr>
            <w:t>单击此处输入文字。</w:t>
          </w:r>
        </w:p>
      </w:docPartBody>
    </w:docPart>
    <w:docPart>
      <w:docPartPr>
        <w:name w:val="{764c9a32-4850-4534-9e69-273e7e58dab4}"/>
        <w:style w:val=""/>
        <w:category>
          <w:name w:val="常规"/>
          <w:gallery w:val="placeholder"/>
        </w:category>
        <w:types>
          <w:type w:val="bbPlcHdr"/>
        </w:types>
        <w:behaviors>
          <w:behavior w:val="content"/>
        </w:behaviors>
        <w:description w:val=""/>
        <w:guid w:val="{764c9a32-4850-4534-9e69-273e7e58dab4}"/>
      </w:docPartPr>
      <w:docPartBody>
        <w:p>
          <w:r>
            <w:rPr>
              <w:color w:val="808080"/>
            </w:rPr>
            <w:t>单击此处输入文字。</w:t>
          </w:r>
        </w:p>
      </w:docPartBody>
    </w:docPart>
    <w:docPart>
      <w:docPartPr>
        <w:name w:val="{1b0974fb-07c3-4b33-8a5b-3188c0c1fedd}"/>
        <w:style w:val=""/>
        <w:category>
          <w:name w:val="常规"/>
          <w:gallery w:val="placeholder"/>
        </w:category>
        <w:types>
          <w:type w:val="bbPlcHdr"/>
        </w:types>
        <w:behaviors>
          <w:behavior w:val="content"/>
        </w:behaviors>
        <w:description w:val=""/>
        <w:guid w:val="{1b0974fb-07c3-4b33-8a5b-3188c0c1fedd}"/>
      </w:docPartPr>
      <w:docPartBody>
        <w:p>
          <w:r>
            <w:rPr>
              <w:color w:val="808080"/>
            </w:rPr>
            <w:t>单击此处输入文字。</w:t>
          </w:r>
        </w:p>
      </w:docPartBody>
    </w:docPart>
    <w:docPart>
      <w:docPartPr>
        <w:name w:val="{08569af0-9167-427c-b236-6ccb5ef80697}"/>
        <w:style w:val=""/>
        <w:category>
          <w:name w:val="常规"/>
          <w:gallery w:val="placeholder"/>
        </w:category>
        <w:types>
          <w:type w:val="bbPlcHdr"/>
        </w:types>
        <w:behaviors>
          <w:behavior w:val="content"/>
        </w:behaviors>
        <w:description w:val=""/>
        <w:guid w:val="{08569af0-9167-427c-b236-6ccb5ef80697}"/>
      </w:docPartPr>
      <w:docPartBody>
        <w:p>
          <w:r>
            <w:rPr>
              <w:color w:val="808080"/>
            </w:rPr>
            <w:t>单击此处输入文字。</w:t>
          </w:r>
        </w:p>
      </w:docPartBody>
    </w:docPart>
    <w:docPart>
      <w:docPartPr>
        <w:name w:val="{0b59e297-8ab4-4ea6-bf68-e3b9f591b5df}"/>
        <w:style w:val=""/>
        <w:category>
          <w:name w:val="常规"/>
          <w:gallery w:val="placeholder"/>
        </w:category>
        <w:types>
          <w:type w:val="bbPlcHdr"/>
        </w:types>
        <w:behaviors>
          <w:behavior w:val="content"/>
        </w:behaviors>
        <w:description w:val=""/>
        <w:guid w:val="{0b59e297-8ab4-4ea6-bf68-e3b9f591b5df}"/>
      </w:docPartPr>
      <w:docPartBody>
        <w:p>
          <w:r>
            <w:rPr>
              <w:color w:val="808080"/>
            </w:rPr>
            <w:t>单击此处输入文字。</w:t>
          </w:r>
        </w:p>
      </w:docPartBody>
    </w:docPart>
    <w:docPart>
      <w:docPartPr>
        <w:name w:val="{368849c6-82fe-4548-ac04-d97e42f9b8f2}"/>
        <w:style w:val=""/>
        <w:category>
          <w:name w:val="常规"/>
          <w:gallery w:val="placeholder"/>
        </w:category>
        <w:types>
          <w:type w:val="bbPlcHdr"/>
        </w:types>
        <w:behaviors>
          <w:behavior w:val="content"/>
        </w:behaviors>
        <w:description w:val=""/>
        <w:guid w:val="{368849c6-82fe-4548-ac04-d97e42f9b8f2}"/>
      </w:docPartPr>
      <w:docPartBody>
        <w:p>
          <w:r>
            <w:rPr>
              <w:color w:val="808080"/>
            </w:rPr>
            <w:t>单击此处输入文字。</w:t>
          </w:r>
        </w:p>
      </w:docPartBody>
    </w:docPart>
    <w:docPart>
      <w:docPartPr>
        <w:name w:val="{2825f621-6bbe-427d-b7eb-a326f33824dc}"/>
        <w:style w:val=""/>
        <w:category>
          <w:name w:val="常规"/>
          <w:gallery w:val="placeholder"/>
        </w:category>
        <w:types>
          <w:type w:val="bbPlcHdr"/>
        </w:types>
        <w:behaviors>
          <w:behavior w:val="content"/>
        </w:behaviors>
        <w:description w:val=""/>
        <w:guid w:val="{2825f621-6bbe-427d-b7eb-a326f33824dc}"/>
      </w:docPartPr>
      <w:docPartBody>
        <w:p>
          <w:r>
            <w:rPr>
              <w:color w:val="808080"/>
            </w:rPr>
            <w:t>单击此处输入文字。</w:t>
          </w:r>
        </w:p>
      </w:docPartBody>
    </w:docPart>
    <w:docPart>
      <w:docPartPr>
        <w:name w:val="{4c6a9be8-55b5-4a02-85fb-afa26b66e002}"/>
        <w:style w:val=""/>
        <w:category>
          <w:name w:val="常规"/>
          <w:gallery w:val="placeholder"/>
        </w:category>
        <w:types>
          <w:type w:val="bbPlcHdr"/>
        </w:types>
        <w:behaviors>
          <w:behavior w:val="content"/>
        </w:behaviors>
        <w:description w:val=""/>
        <w:guid w:val="{4c6a9be8-55b5-4a02-85fb-afa26b66e002}"/>
      </w:docPartPr>
      <w:docPartBody>
        <w:p>
          <w:r>
            <w:rPr>
              <w:color w:val="808080"/>
            </w:rPr>
            <w:t>单击此处输入文字。</w:t>
          </w:r>
        </w:p>
      </w:docPartBody>
    </w:docPart>
    <w:docPart>
      <w:docPartPr>
        <w:name w:val="{63908dd6-9f2c-4404-8e64-099a9dff7195}"/>
        <w:style w:val=""/>
        <w:category>
          <w:name w:val="常规"/>
          <w:gallery w:val="placeholder"/>
        </w:category>
        <w:types>
          <w:type w:val="bbPlcHdr"/>
        </w:types>
        <w:behaviors>
          <w:behavior w:val="content"/>
        </w:behaviors>
        <w:description w:val=""/>
        <w:guid w:val="{63908dd6-9f2c-4404-8e64-099a9dff7195}"/>
      </w:docPartPr>
      <w:docPartBody>
        <w:p>
          <w:r>
            <w:rPr>
              <w:color w:val="808080"/>
            </w:rPr>
            <w:t>单击此处输入文字。</w:t>
          </w:r>
        </w:p>
      </w:docPartBody>
    </w:docPart>
    <w:docPart>
      <w:docPartPr>
        <w:name w:val="{00b954f2-9c94-487d-9267-c034fd016976}"/>
        <w:style w:val=""/>
        <w:category>
          <w:name w:val="常规"/>
          <w:gallery w:val="placeholder"/>
        </w:category>
        <w:types>
          <w:type w:val="bbPlcHdr"/>
        </w:types>
        <w:behaviors>
          <w:behavior w:val="content"/>
        </w:behaviors>
        <w:description w:val=""/>
        <w:guid w:val="{00b954f2-9c94-487d-9267-c034fd016976}"/>
      </w:docPartPr>
      <w:docPartBody>
        <w:p>
          <w:r>
            <w:rPr>
              <w:color w:val="808080"/>
            </w:rPr>
            <w:t>单击此处输入文字。</w:t>
          </w:r>
        </w:p>
      </w:docPartBody>
    </w:docPart>
    <w:docPart>
      <w:docPartPr>
        <w:name w:val="{bd06c833-ceea-4a04-b97f-2cf70b20c767}"/>
        <w:style w:val=""/>
        <w:category>
          <w:name w:val="常规"/>
          <w:gallery w:val="placeholder"/>
        </w:category>
        <w:types>
          <w:type w:val="bbPlcHdr"/>
        </w:types>
        <w:behaviors>
          <w:behavior w:val="content"/>
        </w:behaviors>
        <w:description w:val=""/>
        <w:guid w:val="{bd06c833-ceea-4a04-b97f-2cf70b20c76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1BC42-4CE0-4FF4-907B-0672ADC74BA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67</Pages>
  <Words>32828</Words>
  <Characters>33314</Characters>
  <Lines>236</Lines>
  <Paragraphs>66</Paragraphs>
  <TotalTime>38</TotalTime>
  <ScaleCrop>false</ScaleCrop>
  <LinksUpToDate>false</LinksUpToDate>
  <CharactersWithSpaces>33781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2021-01-01T23:56:00Z</dcterms:created>
  <dc:creator>Sunrikui</dc:creator>
  <cp:lastModifiedBy>Joker1388711894</cp:lastModifiedBy>
  <cp:lastPrinted>2021-05-28T02:56:00Z</cp:lastPrinted>
  <dcterms:modified xsi:type="dcterms:W3CDTF">2021-05-31T09:19:55Z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91780C2081E749C7A868DAD001346815</vt:lpwstr>
  </property>
</Properties>
</file>